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Meta"/>
        <w:spacing w:before="240"/>
        <w:jc w:val="center"/>
      </w:pPr>
      <w:r>
        <w:t>MEDIAN v0.5.0</w:t>
      </w:r>
    </w:p>
    <w:p>
      <w:pPr>
        <w:pStyle w:val="Title"/>
        <w:jc w:val="center"/>
      </w:pPr>
      <w:r>
        <w:t>Discovery, Time, Movement,</w:t>
        <w:br/>
        <w:t>and Civic Progression</w:t>
      </w:r>
    </w:p>
    <w:p>
      <w:pPr>
        <w:pStyle w:val="Subtitle"/>
        <w:spacing w:before="160" w:after="200"/>
        <w:jc w:val="center"/>
      </w:pPr>
      <w:r>
        <w:t>Baseline Specification v1.0</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31"/>
        <w:gridCol w:w="3331"/>
        <w:gridCol w:w="3331"/>
      </w:tblGrid>
      <w:tr>
        <w:tc>
          <w:tcPr>
            <w:tcW w:type="dxa" w:w="3096"/>
            <w:tcMar>
              <w:top w:w="110" w:type="dxa"/>
              <w:start w:w="80" w:type="dxa"/>
              <w:bottom w:w="110" w:type="dxa"/>
              <w:end w:w="80" w:type="dxa"/>
            </w:tcMar>
            <w:shd w:fill="20364A" w:val="clear"/>
            <w:vAlign w:val="center"/>
          </w:tcPr>
          <w:p>
            <w:pPr>
              <w:spacing w:after="0"/>
              <w:jc w:val="center"/>
            </w:pPr>
            <w:r>
              <w:rPr>
                <w:b/>
                <w:color w:val="FFFFFF"/>
                <w:sz w:val="15"/>
              </w:rPr>
              <w:t>STATUS</w:t>
              <w:br/>
            </w:r>
            <w:r>
              <w:rPr>
                <w:b/>
                <w:color w:val="FFFFFF"/>
                <w:sz w:val="20"/>
              </w:rPr>
              <w:t>COMPLETE</w:t>
            </w:r>
          </w:p>
        </w:tc>
        <w:tc>
          <w:tcPr>
            <w:tcW w:type="dxa" w:w="3671"/>
            <w:tcMar>
              <w:top w:w="110" w:type="dxa"/>
              <w:start w:w="80" w:type="dxa"/>
              <w:bottom w:w="110" w:type="dxa"/>
              <w:end w:w="80" w:type="dxa"/>
            </w:tcMar>
            <w:shd w:fill="E8EFF5" w:val="clear"/>
            <w:vAlign w:val="center"/>
          </w:tcPr>
          <w:p>
            <w:pPr>
              <w:spacing w:after="0"/>
              <w:jc w:val="center"/>
            </w:pPr>
            <w:r>
              <w:rPr>
                <w:b/>
                <w:color w:val="7A858C"/>
                <w:sz w:val="15"/>
              </w:rPr>
              <w:t>AUTHORITY</w:t>
              <w:br/>
            </w:r>
            <w:r>
              <w:rPr>
                <w:b/>
                <w:color w:val="20364A"/>
                <w:sz w:val="20"/>
              </w:rPr>
              <w:t>BSA-12-22</w:t>
            </w:r>
          </w:p>
        </w:tc>
        <w:tc>
          <w:tcPr>
            <w:tcW w:type="dxa" w:w="4248"/>
            <w:tcMar>
              <w:top w:w="110" w:type="dxa"/>
              <w:start w:w="80" w:type="dxa"/>
              <w:bottom w:w="110" w:type="dxa"/>
              <w:end w:w="80" w:type="dxa"/>
            </w:tcMar>
            <w:shd w:fill="E8EFF5" w:val="clear"/>
            <w:vAlign w:val="center"/>
          </w:tcPr>
          <w:p>
            <w:pPr>
              <w:spacing w:after="0"/>
              <w:jc w:val="center"/>
            </w:pPr>
            <w:r>
              <w:rPr>
                <w:b/>
                <w:color w:val="7A858C"/>
                <w:sz w:val="15"/>
              </w:rPr>
              <w:t>DATE</w:t>
              <w:br/>
            </w:r>
            <w:r>
              <w:rPr>
                <w:b/>
                <w:color w:val="20364A"/>
                <w:sz w:val="20"/>
              </w:rPr>
              <w:t>31 JULY 2026</w:t>
            </w:r>
          </w:p>
        </w:tc>
      </w:tr>
    </w:tbl>
    <w:p>
      <w:pPr>
        <w:spacing w:after="0"/>
      </w:pPr>
    </w:p>
    <w:p>
      <w:pPr>
        <w:spacing w:after="160"/>
        <w:ind w:left="1296" w:right="1296"/>
        <w:jc w:val="center"/>
      </w:pPr>
      <w:r>
        <w:rPr>
          <w:i/>
        </w:rPr>
        <w:t>This specification consolidates every settled Baseline Survivorship Audit ruling reached after BSA-11. It governs discovery, Place development, corridor expansion, environmental variation, the shared Day clock, species movement, Tier advancement, and the return of a deceased Citizen's Keepsake through Homecoming. It supersedes earlier Node Study, Knowledge, instant-upgrade, and deferred Keepsake-aftermath assumptions wherever it speaks directly.</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environment changes the circumstances of play, not the grammar of play.</w:t>
            </w:r>
          </w:p>
        </w:tc>
      </w:tr>
    </w:tbl>
    <w:p>
      <w:pPr>
        <w:spacing w:after="0"/>
      </w:pPr>
    </w:p>
    <w:p>
      <w:pPr>
        <w:pStyle w:val="SmallNote"/>
        <w:jc w:val="center"/>
      </w:pPr>
      <w:r>
        <w:t>Progress creates possibilities; the Colony must still build them.</w:t>
      </w:r>
    </w:p>
    <w:p>
      <w:r>
        <w:br w:type="page"/>
      </w:r>
    </w:p>
    <w:p>
      <w:pPr>
        <w:pStyle w:val="Heading1"/>
      </w:pPr>
      <w:r>
        <w:t>1. Purpose, Scope, and Governing Principles</w:t>
      </w:r>
    </w:p>
    <w:p>
      <w:pPr/>
      <w:r>
        <w:rPr>
          <w:b/>
        </w:rPr>
        <w:t xml:space="preserve">Purpose. </w:t>
      </w:r>
      <w:r>
        <w:t>This specification joins Field discovery, civic construction, time, bodily movement, and Tier progression into one baseline architecture. Each system must deepen the same campaign without creating parallel currencies, clocks, upgrade ladders, or inventory procedures.</w:t>
      </w:r>
    </w:p>
    <w:p>
      <w:pPr/>
      <w:r>
        <w:rPr>
          <w:b/>
        </w:rPr>
        <w:t xml:space="preserve">Scope. </w:t>
      </w:r>
      <w:r>
        <w:t>The document covers BSA-12 through BSA-22. It supplements the Home, Away, Population and Colony Tiers, Guest Citizen, and Personal Items specifications. It resolves BSA-11's deferred Node Study and Keepsake-aftermath questions.</w:t>
      </w:r>
    </w:p>
    <w:p>
      <w:pPr/>
      <w:r>
        <w:rPr>
          <w:b/>
        </w:rPr>
        <w:t xml:space="preserve">Precedence. </w:t>
      </w:r>
      <w:r>
        <w:t>Where this document contradicts an exploratory thread ruling or an older assumption about Knowledge, instant building advancement, movement, Day cadence, or death inventory, this document leads. Existing population thresholds and Tier identities remain controlled by the Population and Colony Tiers specification unless explicitly restated here.</w:t>
      </w:r>
    </w:p>
    <w:p>
      <w:pPr/>
      <w:r>
        <w:rPr>
          <w:b/>
        </w:rPr>
        <w:t xml:space="preserve">Compression rule. </w:t>
      </w:r>
      <w:r>
        <w:t>The baseline defines player-visible choices, persistent state, major-system interactions, and necessary authoring obligations. Interface impossibilities do not require separate prohibition rules.</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One world, one clock, one corridor, and no detached progression currency.</w:t>
            </w:r>
          </w:p>
        </w:tc>
      </w:tr>
    </w:tbl>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997"/>
        <w:gridCol w:w="4997"/>
      </w:tblGrid>
      <w:tr>
        <w:trPr>
          <w:tblHeader w:val="true"/>
          <w:cantSplit/>
        </w:trPr>
        <w:tc>
          <w:tcPr>
            <w:tcW w:type="dxa" w:w="4536"/>
            <w:shd w:fill="20364A" w:val="clear"/>
            <w:tcMar>
              <w:top w:w="85" w:type="dxa"/>
              <w:start w:w="85" w:type="dxa"/>
              <w:bottom w:w="85" w:type="dxa"/>
              <w:end w:w="85" w:type="dxa"/>
            </w:tcMar>
          </w:tcPr>
          <w:p>
            <w:pPr>
              <w:spacing w:after="0"/>
            </w:pPr>
            <w:r>
              <w:rPr>
                <w:b/>
                <w:color w:val="FFFFFF"/>
                <w:sz w:val="17"/>
              </w:rPr>
              <w:t>PRINCIPLE</w:t>
            </w:r>
          </w:p>
        </w:tc>
        <w:tc>
          <w:tcPr>
            <w:tcW w:type="dxa" w:w="6480"/>
            <w:shd w:fill="20364A" w:val="clear"/>
            <w:tcMar>
              <w:top w:w="85" w:type="dxa"/>
              <w:start w:w="85" w:type="dxa"/>
              <w:bottom w:w="85" w:type="dxa"/>
              <w:end w:w="85" w:type="dxa"/>
            </w:tcMar>
          </w:tcPr>
          <w:p>
            <w:pPr>
              <w:spacing w:after="0"/>
            </w:pPr>
            <w:r>
              <w:rPr>
                <w:b/>
                <w:color w:val="FFFFFF"/>
                <w:sz w:val="17"/>
              </w:rPr>
              <w:t>BASELINE MEANING</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Discovery is direct</w:t>
            </w:r>
          </w:p>
        </w:tc>
        <w:tc>
          <w:tcPr>
            <w:tcW w:type="dxa" w:w="6480"/>
            <w:tcMar>
              <w:top w:w="75" w:type="dxa"/>
              <w:start w:w="85" w:type="dxa"/>
              <w:bottom w:w="75" w:type="dxa"/>
              <w:end w:w="85" w:type="dxa"/>
            </w:tcMar>
          </w:tcPr>
          <w:p>
            <w:pPr>
              <w:spacing w:after="0"/>
            </w:pPr>
            <w:r>
              <w:rPr>
                <w:color w:val="1F2529"/>
                <w:sz w:val="18"/>
              </w:rPr>
              <w:t>TRAVEL reveals territory. Nodes open MEET. Lasting learning appears as a direct change in the world.</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Change is embodied</w:t>
            </w:r>
          </w:p>
        </w:tc>
        <w:tc>
          <w:tcPr>
            <w:tcW w:type="dxa" w:w="6480"/>
            <w:tcMar>
              <w:top w:w="75" w:type="dxa"/>
              <w:start w:w="85" w:type="dxa"/>
              <w:bottom w:w="75" w:type="dxa"/>
              <w:end w:w="85" w:type="dxa"/>
            </w:tcMar>
          </w:tcPr>
          <w:p>
            <w:pPr>
              <w:spacing w:after="0"/>
            </w:pPr>
            <w:r>
              <w:rPr>
                <w:color w:val="1F2529"/>
                <w:sz w:val="18"/>
              </w:rPr>
              <w:t>A Place gains purpose through a Practice and changes through a resource- and time-bearing Project.</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Home remains the center</w:t>
            </w:r>
          </w:p>
        </w:tc>
        <w:tc>
          <w:tcPr>
            <w:tcW w:type="dxa" w:w="6480"/>
            <w:tcMar>
              <w:top w:w="75" w:type="dxa"/>
              <w:start w:w="85" w:type="dxa"/>
              <w:bottom w:w="75" w:type="dxa"/>
              <w:end w:w="85" w:type="dxa"/>
            </w:tcMar>
          </w:tcPr>
          <w:p>
            <w:pPr>
              <w:spacing w:after="0"/>
            </w:pPr>
            <w:r>
              <w:rPr>
                <w:color w:val="1F2529"/>
                <w:sz w:val="18"/>
              </w:rPr>
              <w:t>The corridor expands around the original Home Median; progression never replaces it with a better map.</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Time belongs to the world</w:t>
            </w:r>
          </w:p>
        </w:tc>
        <w:tc>
          <w:tcPr>
            <w:tcW w:type="dxa" w:w="6480"/>
            <w:tcMar>
              <w:top w:w="75" w:type="dxa"/>
              <w:start w:w="85" w:type="dxa"/>
              <w:bottom w:w="75" w:type="dxa"/>
              <w:end w:w="85" w:type="dxa"/>
            </w:tcMar>
          </w:tcPr>
          <w:p>
            <w:pPr>
              <w:spacing w:after="0"/>
            </w:pPr>
            <w:r>
              <w:rPr>
                <w:color w:val="1F2529"/>
                <w:sz w:val="18"/>
              </w:rPr>
              <w:t>Home and Away use one calendar. Home spends whole bands; Away resolves the same bands in Time Marks.</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Bodies differ without extra turns</w:t>
            </w:r>
          </w:p>
        </w:tc>
        <w:tc>
          <w:tcPr>
            <w:tcW w:type="dxa" w:w="6480"/>
            <w:tcMar>
              <w:top w:w="75" w:type="dxa"/>
              <w:start w:w="85" w:type="dxa"/>
              <w:bottom w:w="75" w:type="dxa"/>
              <w:end w:w="85" w:type="dxa"/>
            </w:tcMar>
          </w:tcPr>
          <w:p>
            <w:pPr>
              <w:spacing w:after="0"/>
            </w:pPr>
            <w:r>
              <w:rPr>
                <w:color w:val="1F2529"/>
                <w:sz w:val="18"/>
              </w:rPr>
              <w:t>Rabbit speed changes movement and Crossing acuity, not thought speed, action count, or MEET duration.</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Maturity opens possibility</w:t>
            </w:r>
          </w:p>
        </w:tc>
        <w:tc>
          <w:tcPr>
            <w:tcW w:type="dxa" w:w="6480"/>
            <w:tcMar>
              <w:top w:w="75" w:type="dxa"/>
              <w:start w:w="85" w:type="dxa"/>
              <w:bottom w:w="75" w:type="dxa"/>
              <w:end w:w="85" w:type="dxa"/>
            </w:tcMar>
          </w:tcPr>
          <w:p>
            <w:pPr>
              <w:spacing w:after="0"/>
            </w:pPr>
            <w:r>
              <w:rPr>
                <w:color w:val="1F2529"/>
                <w:sz w:val="18"/>
              </w:rPr>
              <w:t>Tier advancement makes new content eligible. MEET makes a Practice known. Project makes it physically real.</w:t>
            </w:r>
          </w:p>
        </w:tc>
      </w:tr>
      <w:tr>
        <w:trPr>
          <w:cantSplit/>
        </w:trPr>
        <w:tc>
          <w:tcPr>
            <w:tcW w:type="dxa" w:w="4536"/>
            <w:shd w:fill="E8EFF5" w:val="clear"/>
            <w:tcMar>
              <w:top w:w="75" w:type="dxa"/>
              <w:start w:w="85" w:type="dxa"/>
              <w:bottom w:w="75" w:type="dxa"/>
              <w:end w:w="85" w:type="dxa"/>
            </w:tcMar>
          </w:tcPr>
          <w:p>
            <w:pPr>
              <w:spacing w:after="0"/>
            </w:pPr>
            <w:r>
              <w:rPr>
                <w:b/>
                <w:color w:val="20364A"/>
                <w:sz w:val="18"/>
              </w:rPr>
              <w:t>Loss returns through existing play</w:t>
            </w:r>
          </w:p>
        </w:tc>
        <w:tc>
          <w:tcPr>
            <w:tcW w:type="dxa" w:w="6480"/>
            <w:tcMar>
              <w:top w:w="75" w:type="dxa"/>
              <w:start w:w="85" w:type="dxa"/>
              <w:bottom w:w="75" w:type="dxa"/>
              <w:end w:w="85" w:type="dxa"/>
            </w:tcMar>
          </w:tcPr>
          <w:p>
            <w:pPr>
              <w:spacing w:after="0"/>
            </w:pPr>
            <w:r>
              <w:rPr>
                <w:color w:val="1F2529"/>
                <w:sz w:val="18"/>
              </w:rPr>
              <w:t>A Keepsake carried out of death Away is resolved inside the ordinary Homecoming MEET.</w:t>
            </w:r>
          </w:p>
        </w:tc>
      </w:tr>
    </w:tbl>
    <w:p>
      <w:pPr>
        <w:pStyle w:val="Heading1"/>
      </w:pPr>
      <w:r>
        <w:t>2. BSA-12 - Discovery, Nodes, and Knowledge</w:t>
      </w:r>
    </w:p>
    <w:p>
      <w:pPr/>
      <w:r>
        <w:rPr>
          <w:b/>
        </w:rPr>
        <w:t xml:space="preserve">Governing rule. </w:t>
      </w:r>
      <w:r>
        <w:t>Formal Node Study and a formal Knowledge system are deprecated.</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TRAVEL reveals territory. Nodes open MEET.</w:t>
            </w:r>
          </w:p>
        </w:tc>
      </w:tr>
    </w:tbl>
    <w:p>
      <w:pPr>
        <w:pStyle w:val="Heading2"/>
      </w:pPr>
      <w:r>
        <w:t>2.1 TRAVEL reveals the Field</w:t>
      </w:r>
    </w:p>
    <w:p>
      <w:pPr>
        <w:pStyle w:val="CompactBullet"/>
      </w:pPr>
      <w:r>
        <w:t>• A meaningful TRAVEL leg removes unexplored state from the relevant Median Reach, Margin, route, or adjoining territory.</w:t>
      </w:r>
    </w:p>
    <w:p>
      <w:pPr>
        <w:pStyle w:val="CompactBullet"/>
      </w:pPr>
      <w:r>
        <w:t>• Revelation exposes geography, route relationships, hazards, and authored Nodes. It does not award Study points or abstract Knowledge.</w:t>
      </w:r>
    </w:p>
    <w:p>
      <w:pPr>
        <w:pStyle w:val="CompactBullet"/>
      </w:pPr>
      <w:r>
        <w:t>• The player discovers where something is through TRAVEL; the player discovers what it means by meeting it.</w:t>
      </w:r>
    </w:p>
    <w:p>
      <w:pPr>
        <w:pStyle w:val="Heading2"/>
      </w:pPr>
      <w:r>
        <w:t>2.2 Nodes become meaningful through MEET</w:t>
      </w:r>
    </w:p>
    <w:p>
      <w:pPr>
        <w:pStyle w:val="CompactBullet"/>
      </w:pPr>
      <w:r>
        <w:t>• Arrival at a Node invokes the appropriate MEET when the Node contains a bounded consequential situation.</w:t>
      </w:r>
    </w:p>
    <w:p>
      <w:pPr>
        <w:pStyle w:val="CompactBullet"/>
      </w:pPr>
      <w:r>
        <w:t>• A Node is not a research object, unlock container, or progress bar. It may remain quiet, change condition, or offer different MEET content as the world changes.</w:t>
      </w:r>
    </w:p>
    <w:p>
      <w:pPr>
        <w:pStyle w:val="CompactBullet"/>
      </w:pPr>
      <w:r>
        <w:t>• Node Conditions are authored state used to select or alter MEET content. Day Band, season, weather, relationships, prior choices, and current material state may all contribute.</w:t>
      </w:r>
    </w:p>
    <w:p>
      <w:pPr>
        <w:pStyle w:val="Heading2"/>
      </w:pPr>
      <w:r>
        <w:t>2.3 Lasting outcomes are direct</w:t>
      </w:r>
    </w:p>
    <w:p>
      <w:pPr/>
      <w:r>
        <w:rPr>
          <w:b/>
        </w:rPr>
        <w:t xml:space="preserve">A MEET may directly produce </w:t>
      </w:r>
      <w:r>
        <w:t>a learned Practice, permission for a Project, a changed route or Node, a relationship, a Tool, a Special Artifact, a civic opportunity, or another persistent world-state change.</w:t>
      </w:r>
    </w:p>
    <w:p>
      <w:pPr>
        <w:pStyle w:val="CompactBullet"/>
      </w:pPr>
      <w:r>
        <w:t>• There is no Knowledge resource, Study meter, observation ledger, research point, or technology tree between the MEET and its consequence.</w:t>
      </w:r>
    </w:p>
    <w:p>
      <w:pPr>
        <w:pStyle w:val="CompactBullet"/>
      </w:pPr>
      <w:r>
        <w:t>• A learned Practice may be represented by a direct availability flag and its Tale or Chronicle context. That flag is not a fungible currency.</w:t>
      </w:r>
    </w:p>
    <w:p>
      <w:pPr>
        <w:pStyle w:val="CompactBullet"/>
      </w:pPr>
      <w:r>
        <w:t>• RENDER remains a Node-authored material conversion through the existing Tool grammar. It is not Study and does not revive an open crafting or research system.</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Field is discovered through TRAVEL. Its Nodes become meaningful through MEET. What the Colony learns is expressed as a direct change in the world, not as a separate Knowledge system.</w:t>
            </w:r>
          </w:p>
        </w:tc>
      </w:tr>
    </w:tbl>
    <w:p>
      <w:pPr>
        <w:pStyle w:val="Heading1"/>
      </w:pPr>
      <w:r>
        <w:t>3. BSA-13 - Places, Practices, and Projects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1944"/>
            <w:shd w:fill="20364A" w:val="clear"/>
            <w:tcMar>
              <w:top w:w="85" w:type="dxa"/>
              <w:start w:w="85" w:type="dxa"/>
              <w:bottom w:w="85" w:type="dxa"/>
              <w:end w:w="85" w:type="dxa"/>
            </w:tcMar>
          </w:tcPr>
          <w:p>
            <w:pPr>
              <w:spacing w:after="0"/>
            </w:pPr>
            <w:r>
              <w:rPr>
                <w:b/>
                <w:color w:val="FFFFFF"/>
                <w:sz w:val="16"/>
              </w:rPr>
              <w:t>TERM</w:t>
            </w:r>
          </w:p>
        </w:tc>
        <w:tc>
          <w:tcPr>
            <w:tcW w:type="dxa" w:w="4608"/>
            <w:shd w:fill="20364A" w:val="clear"/>
            <w:tcMar>
              <w:top w:w="85" w:type="dxa"/>
              <w:start w:w="85" w:type="dxa"/>
              <w:bottom w:w="85" w:type="dxa"/>
              <w:end w:w="85" w:type="dxa"/>
            </w:tcMar>
          </w:tcPr>
          <w:p>
            <w:pPr>
              <w:spacing w:after="0"/>
            </w:pPr>
            <w:r>
              <w:rPr>
                <w:b/>
                <w:color w:val="FFFFFF"/>
                <w:sz w:val="16"/>
              </w:rPr>
              <w:t>BASELINE DEFINITION</w:t>
            </w:r>
          </w:p>
        </w:tc>
        <w:tc>
          <w:tcPr>
            <w:tcW w:type="dxa" w:w="4464"/>
            <w:shd w:fill="20364A" w:val="clear"/>
            <w:tcMar>
              <w:top w:w="85" w:type="dxa"/>
              <w:start w:w="85" w:type="dxa"/>
              <w:bottom w:w="85" w:type="dxa"/>
              <w:end w:w="85" w:type="dxa"/>
            </w:tcMar>
          </w:tcPr>
          <w:p>
            <w:pPr>
              <w:spacing w:after="0"/>
            </w:pPr>
            <w:r>
              <w:rPr>
                <w:b/>
                <w:color w:val="FFFFFF"/>
                <w:sz w:val="16"/>
              </w:rPr>
              <w:t>PERSISTENT STATE</w:t>
            </w:r>
          </w:p>
        </w:tc>
      </w:tr>
      <w:tr>
        <w:trPr>
          <w:cantSplit/>
        </w:trPr>
        <w:tc>
          <w:tcPr>
            <w:tcW w:type="dxa" w:w="1944"/>
            <w:shd w:fill="E8EFF5" w:val="clear"/>
            <w:tcMar>
              <w:top w:w="75" w:type="dxa"/>
              <w:start w:w="85" w:type="dxa"/>
              <w:bottom w:w="75" w:type="dxa"/>
              <w:end w:w="85" w:type="dxa"/>
            </w:tcMar>
          </w:tcPr>
          <w:p>
            <w:pPr>
              <w:spacing w:after="0"/>
            </w:pPr>
            <w:r>
              <w:rPr>
                <w:b/>
                <w:color w:val="20364A"/>
                <w:sz w:val="17"/>
              </w:rPr>
              <w:t>Place</w:t>
            </w:r>
          </w:p>
        </w:tc>
        <w:tc>
          <w:tcPr>
            <w:tcW w:type="dxa" w:w="4608"/>
            <w:tcMar>
              <w:top w:w="75" w:type="dxa"/>
              <w:start w:w="85" w:type="dxa"/>
              <w:bottom w:w="75" w:type="dxa"/>
              <w:end w:w="85" w:type="dxa"/>
            </w:tcMar>
          </w:tcPr>
          <w:p>
            <w:pPr>
              <w:spacing w:after="0"/>
            </w:pPr>
            <w:r>
              <w:rPr>
                <w:color w:val="1F2529"/>
                <w:sz w:val="17"/>
              </w:rPr>
              <w:t>A bounded area of land the player explicitly claims or selects for building.</w:t>
            </w:r>
          </w:p>
        </w:tc>
        <w:tc>
          <w:tcPr>
            <w:tcW w:type="dxa" w:w="4464"/>
            <w:tcMar>
              <w:top w:w="75" w:type="dxa"/>
              <w:start w:w="85" w:type="dxa"/>
              <w:bottom w:w="75" w:type="dxa"/>
              <w:end w:w="85" w:type="dxa"/>
            </w:tcMar>
          </w:tcPr>
          <w:p>
            <w:pPr>
              <w:spacing w:after="0"/>
            </w:pPr>
            <w:r>
              <w:rPr>
                <w:color w:val="1F2529"/>
                <w:sz w:val="17"/>
              </w:rPr>
              <w:t>Location, footprint, species-spatial fit, and current condition.</w:t>
            </w:r>
          </w:p>
        </w:tc>
      </w:tr>
      <w:tr>
        <w:trPr>
          <w:cantSplit/>
        </w:trPr>
        <w:tc>
          <w:tcPr>
            <w:tcW w:type="dxa" w:w="1944"/>
            <w:shd w:fill="E8EFF5" w:val="clear"/>
            <w:tcMar>
              <w:top w:w="75" w:type="dxa"/>
              <w:start w:w="85" w:type="dxa"/>
              <w:bottom w:w="75" w:type="dxa"/>
              <w:end w:w="85" w:type="dxa"/>
            </w:tcMar>
          </w:tcPr>
          <w:p>
            <w:pPr>
              <w:spacing w:after="0"/>
            </w:pPr>
            <w:r>
              <w:rPr>
                <w:b/>
                <w:color w:val="20364A"/>
                <w:sz w:val="17"/>
              </w:rPr>
              <w:t>Practice</w:t>
            </w:r>
          </w:p>
        </w:tc>
        <w:tc>
          <w:tcPr>
            <w:tcW w:type="dxa" w:w="4608"/>
            <w:tcMar>
              <w:top w:w="75" w:type="dxa"/>
              <w:start w:w="85" w:type="dxa"/>
              <w:bottom w:w="75" w:type="dxa"/>
              <w:end w:w="85" w:type="dxa"/>
            </w:tcMar>
          </w:tcPr>
          <w:p>
            <w:pPr>
              <w:spacing w:after="0"/>
            </w:pPr>
            <w:r>
              <w:rPr>
                <w:color w:val="1F2529"/>
                <w:sz w:val="17"/>
              </w:rPr>
              <w:t>What an acquired or developed Place does for the Colony.</w:t>
            </w:r>
          </w:p>
        </w:tc>
        <w:tc>
          <w:tcPr>
            <w:tcW w:type="dxa" w:w="4464"/>
            <w:tcMar>
              <w:top w:w="75" w:type="dxa"/>
              <w:start w:w="85" w:type="dxa"/>
              <w:bottom w:w="75" w:type="dxa"/>
              <w:end w:w="85" w:type="dxa"/>
            </w:tcMar>
          </w:tcPr>
          <w:p>
            <w:pPr>
              <w:spacing w:after="0"/>
            </w:pPr>
            <w:r>
              <w:rPr>
                <w:color w:val="1F2529"/>
                <w:sz w:val="17"/>
              </w:rPr>
              <w:t>The Place's active civic purpose or function.</w:t>
            </w:r>
          </w:p>
        </w:tc>
      </w:tr>
      <w:tr>
        <w:trPr>
          <w:cantSplit/>
        </w:trPr>
        <w:tc>
          <w:tcPr>
            <w:tcW w:type="dxa" w:w="1944"/>
            <w:shd w:fill="E8EFF5" w:val="clear"/>
            <w:tcMar>
              <w:top w:w="75" w:type="dxa"/>
              <w:start w:w="85" w:type="dxa"/>
              <w:bottom w:w="75" w:type="dxa"/>
              <w:end w:w="85" w:type="dxa"/>
            </w:tcMar>
          </w:tcPr>
          <w:p>
            <w:pPr>
              <w:spacing w:after="0"/>
            </w:pPr>
            <w:r>
              <w:rPr>
                <w:b/>
                <w:color w:val="20364A"/>
                <w:sz w:val="17"/>
              </w:rPr>
              <w:t>Project</w:t>
            </w:r>
          </w:p>
        </w:tc>
        <w:tc>
          <w:tcPr>
            <w:tcW w:type="dxa" w:w="4608"/>
            <w:tcMar>
              <w:top w:w="75" w:type="dxa"/>
              <w:start w:w="85" w:type="dxa"/>
              <w:bottom w:w="75" w:type="dxa"/>
              <w:end w:w="85" w:type="dxa"/>
            </w:tcMar>
          </w:tcPr>
          <w:p>
            <w:pPr>
              <w:spacing w:after="0"/>
            </w:pPr>
            <w:r>
              <w:rPr>
                <w:color w:val="1F2529"/>
                <w:sz w:val="17"/>
              </w:rPr>
              <w:t>A change operation executed through the Construction Queue.</w:t>
            </w:r>
          </w:p>
        </w:tc>
        <w:tc>
          <w:tcPr>
            <w:tcW w:type="dxa" w:w="4464"/>
            <w:tcMar>
              <w:top w:w="75" w:type="dxa"/>
              <w:start w:w="85" w:type="dxa"/>
              <w:bottom w:w="75" w:type="dxa"/>
              <w:end w:w="85" w:type="dxa"/>
            </w:tcMar>
          </w:tcPr>
          <w:p>
            <w:pPr>
              <w:spacing w:after="0"/>
            </w:pPr>
            <w:r>
              <w:rPr>
                <w:color w:val="1F2529"/>
                <w:sz w:val="17"/>
              </w:rPr>
              <w:t>A specific built result after resources and Citizen time are committed.</w:t>
            </w:r>
          </w:p>
        </w:tc>
      </w:tr>
      <w:tr>
        <w:trPr>
          <w:cantSplit/>
        </w:trPr>
        <w:tc>
          <w:tcPr>
            <w:tcW w:type="dxa" w:w="1944"/>
            <w:shd w:fill="E8EFF5" w:val="clear"/>
            <w:tcMar>
              <w:top w:w="75" w:type="dxa"/>
              <w:start w:w="85" w:type="dxa"/>
              <w:bottom w:w="75" w:type="dxa"/>
              <w:end w:w="85" w:type="dxa"/>
            </w:tcMar>
          </w:tcPr>
          <w:p>
            <w:pPr>
              <w:spacing w:after="0"/>
            </w:pPr>
            <w:r>
              <w:rPr>
                <w:b/>
                <w:color w:val="20364A"/>
                <w:sz w:val="17"/>
              </w:rPr>
              <w:t>Permission</w:t>
            </w:r>
          </w:p>
        </w:tc>
        <w:tc>
          <w:tcPr>
            <w:tcW w:type="dxa" w:w="4608"/>
            <w:tcMar>
              <w:top w:w="75" w:type="dxa"/>
              <w:start w:w="85" w:type="dxa"/>
              <w:bottom w:w="75" w:type="dxa"/>
              <w:end w:w="85" w:type="dxa"/>
            </w:tcMar>
          </w:tcPr>
          <w:p>
            <w:pPr>
              <w:spacing w:after="0"/>
            </w:pPr>
            <w:r>
              <w:rPr>
                <w:color w:val="1F2529"/>
                <w:sz w:val="17"/>
              </w:rPr>
              <w:t>A direct eligibility created by Tier, MEET, Metropolis relationship, or world event.</w:t>
            </w:r>
          </w:p>
        </w:tc>
        <w:tc>
          <w:tcPr>
            <w:tcW w:type="dxa" w:w="4464"/>
            <w:tcMar>
              <w:top w:w="75" w:type="dxa"/>
              <w:start w:w="85" w:type="dxa"/>
              <w:bottom w:w="75" w:type="dxa"/>
              <w:end w:w="85" w:type="dxa"/>
            </w:tcMar>
          </w:tcPr>
          <w:p>
            <w:pPr>
              <w:spacing w:after="0"/>
            </w:pPr>
            <w:r>
              <w:rPr>
                <w:color w:val="1F2529"/>
                <w:sz w:val="17"/>
              </w:rPr>
              <w:t>The ability to begin a named Project or adopt a named Practice; never a resource.</w:t>
            </w:r>
          </w:p>
        </w:tc>
      </w:tr>
    </w:tbl>
    <w:p>
      <w:pPr>
        <w:pStyle w:val="Heading2"/>
      </w:pPr>
      <w:r>
        <w:t>3.1 Claiming Place and giving it purpose</w:t>
      </w:r>
    </w:p>
    <w:p>
      <w:pPr>
        <w:pStyle w:val="CompactBullet"/>
      </w:pPr>
      <w:r>
        <w:t>• The player first claims or establishes a Place, then gives it purpose through a Practice.</w:t>
      </w:r>
    </w:p>
    <w:p>
      <w:pPr>
        <w:pStyle w:val="CompactBullet"/>
      </w:pPr>
      <w:r>
        <w:t>• Physical arrangement matters where it embraces or frustrates the Core Species spatial operator: Mouse JOIN, Rabbit GATHER, or Squirrel CONNECT.</w:t>
      </w:r>
    </w:p>
    <w:p>
      <w:pPr>
        <w:pStyle w:val="CompactBullet"/>
      </w:pPr>
      <w:r>
        <w:t>• There is no general adjacency-bonus puzzle, universal aura grid, or hidden optimization layer beyond those meaningful species relationships.</w:t>
      </w:r>
    </w:p>
    <w:p>
      <w:pPr>
        <w:pStyle w:val="Heading2"/>
      </w:pPr>
      <w:r>
        <w:t>3.2 Projects embody change</w:t>
      </w:r>
    </w:p>
    <w:p>
      <w:pPr>
        <w:pStyle w:val="CompactBullet"/>
      </w:pPr>
      <w:r>
        <w:t>• A Project has a defined result, a related Role, required materials where appropriate, and committed Citizen time in the Construction Queue.</w:t>
      </w:r>
    </w:p>
    <w:p>
      <w:pPr>
        <w:pStyle w:val="CompactBullet"/>
      </w:pPr>
      <w:r>
        <w:t>• A Project changes a particular Place or creates another specific persistent fact. It never instantly upgrades all Places of the same family.</w:t>
      </w:r>
    </w:p>
    <w:p>
      <w:pPr>
        <w:pStyle w:val="CompactBullet"/>
      </w:pPr>
      <w:r>
        <w:t>• Tier advancement, a consequential MEET, a Metropolis relationship, or an explicit world event may create the permission to begin a Project. The Colony must still provide the resources and labor.</w:t>
      </w:r>
    </w:p>
    <w:p>
      <w:pPr>
        <w:pStyle w:val="CompactBullet"/>
      </w:pPr>
      <w:r>
        <w:t>• No Place levels up through use, experience points, or a percentage bar. Development is selective and authored.</w:t>
      </w:r>
    </w:p>
    <w:p>
      <w:pPr>
        <w:pStyle w:val="Heading2"/>
      </w:pPr>
      <w:r>
        <w:t>3.3 Example: Winter Garden</w:t>
      </w:r>
    </w:p>
    <w:p>
      <w:pPr/>
      <w:r>
        <w:rPr>
          <w:b/>
        </w:rPr>
        <w:t xml:space="preserve">Eligibility. </w:t>
      </w:r>
      <w:r>
        <w:t>The Colony reaches the appropriate Tier, making Winter Cultivation eligible to be learned.</w:t>
      </w:r>
    </w:p>
    <w:p>
      <w:pPr/>
      <w:r>
        <w:rPr>
          <w:b/>
        </w:rPr>
        <w:t xml:space="preserve">Learning. </w:t>
      </w:r>
      <w:r>
        <w:t>An authored Colony MEET or Rest Stop Metropolis social MEET makes the Practice known directly.</w:t>
      </w:r>
    </w:p>
    <w:p>
      <w:pPr/>
      <w:r>
        <w:rPr>
          <w:b/>
        </w:rPr>
        <w:t xml:space="preserve">Embodiment. </w:t>
      </w:r>
      <w:r>
        <w:t>A Gardener Project consumes the required materials and Role time to convert one particular Garden into a winter-capable Garden.</w:t>
      </w:r>
    </w:p>
    <w:p>
      <w:pPr/>
      <w:r>
        <w:rPr>
          <w:b/>
        </w:rPr>
        <w:t xml:space="preserve">Result. </w:t>
      </w:r>
      <w:r>
        <w:t>Only that Place gains the Winter Cultivation Practice. Other Gardens remain unchanged until separately developed.</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player claims a Place, gives it purpose through a Practice, and changes it through a Project. Progress creates possibilities; the Colony must still build them.</w:t>
            </w:r>
          </w:p>
        </w:tc>
      </w:tr>
    </w:tbl>
    <w:p>
      <w:pPr>
        <w:pStyle w:val="Heading1"/>
      </w:pPr>
      <w:r>
        <w:t>4. BSA-14 - Corridor Progression</w:t>
      </w:r>
    </w:p>
    <w:p>
      <w:pPr/>
      <w:r>
        <w:rPr>
          <w:b/>
        </w:rPr>
        <w:t xml:space="preserve">Campaign shape. </w:t>
      </w:r>
      <w:r>
        <w:t>MEDIAN takes place along one continuous highway corridor. The original Home Median is the permanent center of the campaign.</w:t>
      </w:r>
    </w:p>
    <w:p>
      <w:pPr>
        <w:pStyle w:val="CompactBullet"/>
      </w:pPr>
      <w:r>
        <w:t>• TRAVEL reveals adjoining Reaches, Margins, routes, crossings, and Nodes along the same corridor.</w:t>
      </w:r>
    </w:p>
    <w:p>
      <w:pPr>
        <w:pStyle w:val="CompactBullet"/>
      </w:pPr>
      <w:r>
        <w:t>• Expeditions may establish passage, relationships, refuges, outposts, and eventually daughter colonies.</w:t>
      </w:r>
    </w:p>
    <w:p>
      <w:pPr>
        <w:pStyle w:val="CompactBullet"/>
      </w:pPr>
      <w:r>
        <w:t>• Each extension increases what Home can reach, support, receive, and participate in. It does not replace Home or create a superior main base.</w:t>
      </w:r>
    </w:p>
    <w:p>
      <w:pPr>
        <w:pStyle w:val="CompactBullet"/>
      </w:pPr>
      <w:r>
        <w:t>• The Rest Stop Metropolis is the corridor's major distant civic destination and social concentration. It is not a player base, a relocated capital, or a new campaign map.</w:t>
      </w:r>
    </w:p>
    <w:p>
      <w:pPr>
        <w:pStyle w:val="CompactBullet"/>
      </w:pPr>
      <w:r>
        <w:t>• The player never abandons the founding Home to restart on more favorable terrain as the expected progression path.</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MEDIAN expands outward without moving on. The corridor grows around Home; Home is never superseded by the frontier.</w:t>
            </w:r>
          </w:p>
        </w:tc>
      </w:tr>
    </w:tbl>
    <w:p>
      <w:pPr>
        <w:pStyle w:val="Heading1"/>
      </w:pPr>
      <w:r>
        <w:t>5. BSA-15 and BSA-18 - Environment, Day Band, and Node Conditions</w:t>
      </w:r>
    </w:p>
    <w:p>
      <w:pPr/>
      <w:r>
        <w:rPr>
          <w:b/>
        </w:rPr>
        <w:t xml:space="preserve">Environmental doctrine. </w:t>
      </w:r>
      <w:r>
        <w:t>Season, weather, and Time of Day change the circumstances presented by existing systems. They do not create a second survival grammar.</w:t>
      </w:r>
    </w:p>
    <w:p>
      <w:pPr>
        <w:pStyle w:val="Heading2"/>
      </w:pPr>
      <w:r>
        <w:t>5.1 No separate seasonal or weather economy</w:t>
      </w:r>
    </w:p>
    <w:p>
      <w:pPr>
        <w:pStyle w:val="CompactBullet"/>
      </w:pPr>
      <w:r>
        <w:t>• There is no weather currency, resistance tree, seasonal minigame, or universal climate stat.</w:t>
      </w:r>
    </w:p>
    <w:p>
      <w:pPr>
        <w:pStyle w:val="CompactBullet"/>
      </w:pPr>
      <w:r>
        <w:t>• Season and weather alter route conditions, Crossing circumstances, Exposure, Place demands, Node Conditions, and MEET presentation through the existing TRAVEL, RISK, MEET, DWELL, and Project systems.</w:t>
      </w:r>
    </w:p>
    <w:p>
      <w:pPr>
        <w:pStyle w:val="CompactBullet"/>
      </w:pPr>
      <w:r>
        <w:t>• Equivalent Colony pressures may appear differently by season: snowfall in winter, heavy rain in spring, heat stress in summer, or wind and debris in autumn.</w:t>
      </w:r>
    </w:p>
    <w:p>
      <w:pPr>
        <w:pStyle w:val="CompactBullet"/>
      </w:pPr>
      <w:r>
        <w:t>• Specific Field features may receive authored environmental modifiers when materially credible. The modifier belongs to the feature and situation, not to a global climate subsystem.</w:t>
      </w:r>
    </w:p>
    <w:p>
      <w:pPr>
        <w:pStyle w:val="Heading2"/>
      </w:pPr>
      <w:r>
        <w:t>5.2 Time of Day changes animal life</w:t>
      </w:r>
    </w:p>
    <w:p>
      <w:pPr>
        <w:pStyle w:val="CompactBullet"/>
      </w:pPr>
      <w:r>
        <w:t>• Morning, Midday, Evening, and Night may change which animals are active, human disturbance, temperature, surface condition, cover, sound, scent, and traffic-adjacent ambience.</w:t>
      </w:r>
    </w:p>
    <w:p>
      <w:pPr>
        <w:pStyle w:val="CompactBullet"/>
      </w:pPr>
      <w:r>
        <w:t>• Night is not a universal visibility penalty. Each Reach or Node authors only the differences that materially matter there.</w:t>
      </w:r>
    </w:p>
    <w:p>
      <w:pPr>
        <w:pStyle w:val="CompactBullet"/>
      </w:pPr>
      <w:r>
        <w:t>• Node Conditions vary around the current Day Band and select or reshape the MEET content offered at that Node.</w:t>
      </w:r>
    </w:p>
    <w:p>
      <w:pPr>
        <w:pStyle w:val="CompactBullet"/>
      </w:pPr>
      <w:r>
        <w:t>• Every MEET backplate renders the current Day Band through light, activity, weather, traffic ambience, and environmental state.</w:t>
      </w:r>
    </w:p>
    <w:p>
      <w:pPr>
        <w:pStyle w:val="Heading2"/>
      </w:pPr>
      <w:r>
        <w:t>5.3 Crossing conditions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2376"/>
            <w:shd w:fill="20364A" w:val="clear"/>
            <w:tcMar>
              <w:top w:w="85" w:type="dxa"/>
              <w:start w:w="85" w:type="dxa"/>
              <w:bottom w:w="85" w:type="dxa"/>
              <w:end w:w="85" w:type="dxa"/>
            </w:tcMar>
          </w:tcPr>
          <w:p>
            <w:pPr>
              <w:spacing w:after="0"/>
            </w:pPr>
            <w:r>
              <w:rPr>
                <w:b/>
                <w:color w:val="FFFFFF"/>
                <w:sz w:val="16"/>
              </w:rPr>
              <w:t>WORLD DAY BAND</w:t>
            </w:r>
          </w:p>
        </w:tc>
        <w:tc>
          <w:tcPr>
            <w:tcW w:type="dxa" w:w="2951"/>
            <w:shd w:fill="20364A" w:val="clear"/>
            <w:tcMar>
              <w:top w:w="85" w:type="dxa"/>
              <w:start w:w="85" w:type="dxa"/>
              <w:bottom w:w="85" w:type="dxa"/>
              <w:end w:w="85" w:type="dxa"/>
            </w:tcMar>
          </w:tcPr>
          <w:p>
            <w:pPr>
              <w:spacing w:after="0"/>
            </w:pPr>
            <w:r>
              <w:rPr>
                <w:b/>
                <w:color w:val="FFFFFF"/>
                <w:sz w:val="16"/>
              </w:rPr>
              <w:t>CROSSING CONDITION</w:t>
            </w:r>
          </w:p>
        </w:tc>
        <w:tc>
          <w:tcPr>
            <w:tcW w:type="dxa" w:w="5688"/>
            <w:shd w:fill="20364A" w:val="clear"/>
            <w:tcMar>
              <w:top w:w="85" w:type="dxa"/>
              <w:start w:w="85" w:type="dxa"/>
              <w:bottom w:w="85" w:type="dxa"/>
              <w:end w:w="85" w:type="dxa"/>
            </w:tcMar>
          </w:tcPr>
          <w:p>
            <w:pPr>
              <w:spacing w:after="0"/>
            </w:pPr>
            <w:r>
              <w:rPr>
                <w:b/>
                <w:color w:val="FFFFFF"/>
                <w:sz w:val="16"/>
              </w:rPr>
              <w:t>SCOPE</w:t>
            </w:r>
          </w:p>
        </w:tc>
      </w:tr>
      <w:tr>
        <w:trPr>
          <w:cantSplit/>
        </w:trPr>
        <w:tc>
          <w:tcPr>
            <w:tcW w:type="dxa" w:w="2376"/>
            <w:shd w:fill="E8EFF5" w:val="clear"/>
            <w:tcMar>
              <w:top w:w="75" w:type="dxa"/>
              <w:start w:w="85" w:type="dxa"/>
              <w:bottom w:w="75" w:type="dxa"/>
              <w:end w:w="85" w:type="dxa"/>
            </w:tcMar>
          </w:tcPr>
          <w:p>
            <w:pPr>
              <w:spacing w:after="0"/>
            </w:pPr>
            <w:r>
              <w:rPr>
                <w:b/>
                <w:color w:val="20364A"/>
                <w:sz w:val="17"/>
              </w:rPr>
              <w:t>Morning</w:t>
            </w:r>
          </w:p>
        </w:tc>
        <w:tc>
          <w:tcPr>
            <w:tcW w:type="dxa" w:w="2951"/>
            <w:tcMar>
              <w:top w:w="75" w:type="dxa"/>
              <w:start w:w="85" w:type="dxa"/>
              <w:bottom w:w="75" w:type="dxa"/>
              <w:end w:w="85" w:type="dxa"/>
            </w:tcMar>
          </w:tcPr>
          <w:p>
            <w:pPr>
              <w:spacing w:after="0"/>
            </w:pPr>
            <w:r>
              <w:rPr>
                <w:color w:val="1F2529"/>
                <w:sz w:val="17"/>
              </w:rPr>
              <w:t>Morning Rush</w:t>
            </w:r>
          </w:p>
        </w:tc>
        <w:tc>
          <w:tcPr>
            <w:tcW w:type="dxa" w:w="5688"/>
            <w:tcMar>
              <w:top w:w="75" w:type="dxa"/>
              <w:start w:w="85" w:type="dxa"/>
              <w:bottom w:w="75" w:type="dxa"/>
              <w:end w:w="85" w:type="dxa"/>
            </w:tcMar>
          </w:tcPr>
          <w:p>
            <w:pPr>
              <w:spacing w:after="0"/>
            </w:pPr>
            <w:r>
              <w:rPr>
                <w:color w:val="1F2529"/>
                <w:sz w:val="17"/>
              </w:rPr>
              <w:t>Traffic condition used only by a Crossing resolved in RISK.</w:t>
            </w:r>
          </w:p>
        </w:tc>
      </w:tr>
      <w:tr>
        <w:trPr>
          <w:cantSplit/>
        </w:trPr>
        <w:tc>
          <w:tcPr>
            <w:tcW w:type="dxa" w:w="2376"/>
            <w:shd w:fill="E8EFF5" w:val="clear"/>
            <w:tcMar>
              <w:top w:w="75" w:type="dxa"/>
              <w:start w:w="85" w:type="dxa"/>
              <w:bottom w:w="75" w:type="dxa"/>
              <w:end w:w="85" w:type="dxa"/>
            </w:tcMar>
          </w:tcPr>
          <w:p>
            <w:pPr>
              <w:spacing w:after="0"/>
            </w:pPr>
            <w:r>
              <w:rPr>
                <w:b/>
                <w:color w:val="20364A"/>
                <w:sz w:val="17"/>
              </w:rPr>
              <w:t>Midday</w:t>
            </w:r>
          </w:p>
        </w:tc>
        <w:tc>
          <w:tcPr>
            <w:tcW w:type="dxa" w:w="2951"/>
            <w:tcMar>
              <w:top w:w="75" w:type="dxa"/>
              <w:start w:w="85" w:type="dxa"/>
              <w:bottom w:w="75" w:type="dxa"/>
              <w:end w:w="85" w:type="dxa"/>
            </w:tcMar>
          </w:tcPr>
          <w:p>
            <w:pPr>
              <w:spacing w:after="0"/>
            </w:pPr>
            <w:r>
              <w:rPr>
                <w:color w:val="1F2529"/>
                <w:sz w:val="17"/>
              </w:rPr>
              <w:t>Midday Window</w:t>
            </w:r>
          </w:p>
        </w:tc>
        <w:tc>
          <w:tcPr>
            <w:tcW w:type="dxa" w:w="5688"/>
            <w:tcMar>
              <w:top w:w="75" w:type="dxa"/>
              <w:start w:w="85" w:type="dxa"/>
              <w:bottom w:w="75" w:type="dxa"/>
              <w:end w:w="85" w:type="dxa"/>
            </w:tcMar>
          </w:tcPr>
          <w:p>
            <w:pPr>
              <w:spacing w:after="0"/>
            </w:pPr>
            <w:r>
              <w:rPr>
                <w:color w:val="1F2529"/>
                <w:sz w:val="17"/>
              </w:rPr>
              <w:t>Traffic condition used only by a Crossing resolved in RISK.</w:t>
            </w:r>
          </w:p>
        </w:tc>
      </w:tr>
      <w:tr>
        <w:trPr>
          <w:cantSplit/>
        </w:trPr>
        <w:tc>
          <w:tcPr>
            <w:tcW w:type="dxa" w:w="2376"/>
            <w:shd w:fill="E8EFF5" w:val="clear"/>
            <w:tcMar>
              <w:top w:w="75" w:type="dxa"/>
              <w:start w:w="85" w:type="dxa"/>
              <w:bottom w:w="75" w:type="dxa"/>
              <w:end w:w="85" w:type="dxa"/>
            </w:tcMar>
          </w:tcPr>
          <w:p>
            <w:pPr>
              <w:spacing w:after="0"/>
            </w:pPr>
            <w:r>
              <w:rPr>
                <w:b/>
                <w:color w:val="20364A"/>
                <w:sz w:val="17"/>
              </w:rPr>
              <w:t>Evening</w:t>
            </w:r>
          </w:p>
        </w:tc>
        <w:tc>
          <w:tcPr>
            <w:tcW w:type="dxa" w:w="2951"/>
            <w:tcMar>
              <w:top w:w="75" w:type="dxa"/>
              <w:start w:w="85" w:type="dxa"/>
              <w:bottom w:w="75" w:type="dxa"/>
              <w:end w:w="85" w:type="dxa"/>
            </w:tcMar>
          </w:tcPr>
          <w:p>
            <w:pPr>
              <w:spacing w:after="0"/>
            </w:pPr>
            <w:r>
              <w:rPr>
                <w:color w:val="1F2529"/>
                <w:sz w:val="17"/>
              </w:rPr>
              <w:t>Evening Rush</w:t>
            </w:r>
          </w:p>
        </w:tc>
        <w:tc>
          <w:tcPr>
            <w:tcW w:type="dxa" w:w="5688"/>
            <w:tcMar>
              <w:top w:w="75" w:type="dxa"/>
              <w:start w:w="85" w:type="dxa"/>
              <w:bottom w:w="75" w:type="dxa"/>
              <w:end w:w="85" w:type="dxa"/>
            </w:tcMar>
          </w:tcPr>
          <w:p>
            <w:pPr>
              <w:spacing w:after="0"/>
            </w:pPr>
            <w:r>
              <w:rPr>
                <w:color w:val="1F2529"/>
                <w:sz w:val="17"/>
              </w:rPr>
              <w:t>Traffic condition used only by a Crossing resolved in RISK.</w:t>
            </w:r>
          </w:p>
        </w:tc>
      </w:tr>
      <w:tr>
        <w:trPr>
          <w:cantSplit/>
        </w:trPr>
        <w:tc>
          <w:tcPr>
            <w:tcW w:type="dxa" w:w="2376"/>
            <w:shd w:fill="E8EFF5" w:val="clear"/>
            <w:tcMar>
              <w:top w:w="75" w:type="dxa"/>
              <w:start w:w="85" w:type="dxa"/>
              <w:bottom w:w="75" w:type="dxa"/>
              <w:end w:w="85" w:type="dxa"/>
            </w:tcMar>
          </w:tcPr>
          <w:p>
            <w:pPr>
              <w:spacing w:after="0"/>
            </w:pPr>
            <w:r>
              <w:rPr>
                <w:b/>
                <w:color w:val="20364A"/>
                <w:sz w:val="17"/>
              </w:rPr>
              <w:t>Night</w:t>
            </w:r>
          </w:p>
        </w:tc>
        <w:tc>
          <w:tcPr>
            <w:tcW w:type="dxa" w:w="2951"/>
            <w:tcMar>
              <w:top w:w="75" w:type="dxa"/>
              <w:start w:w="85" w:type="dxa"/>
              <w:bottom w:w="75" w:type="dxa"/>
              <w:end w:w="85" w:type="dxa"/>
            </w:tcMar>
          </w:tcPr>
          <w:p>
            <w:pPr>
              <w:spacing w:after="0"/>
            </w:pPr>
            <w:r>
              <w:rPr>
                <w:color w:val="1F2529"/>
                <w:sz w:val="17"/>
              </w:rPr>
              <w:t>Night Velocity</w:t>
            </w:r>
          </w:p>
        </w:tc>
        <w:tc>
          <w:tcPr>
            <w:tcW w:type="dxa" w:w="5688"/>
            <w:tcMar>
              <w:top w:w="75" w:type="dxa"/>
              <w:start w:w="85" w:type="dxa"/>
              <w:bottom w:w="75" w:type="dxa"/>
              <w:end w:w="85" w:type="dxa"/>
            </w:tcMar>
          </w:tcPr>
          <w:p>
            <w:pPr>
              <w:spacing w:after="0"/>
            </w:pPr>
            <w:r>
              <w:rPr>
                <w:color w:val="1F2529"/>
                <w:sz w:val="17"/>
              </w:rPr>
              <w:t>Traffic condition used only by a Crossing resolved in RISK.</w:t>
            </w:r>
          </w:p>
        </w:tc>
      </w:tr>
    </w:tbl>
    <w:p>
      <w:pPr>
        <w:pStyle w:val="CompactBullet"/>
      </w:pPr>
      <w:r>
        <w:t>• Rush, Window, and Velocity are Highway terms. They are never names for the universal Day Bands.</w:t>
      </w:r>
    </w:p>
    <w:p>
      <w:pPr>
        <w:pStyle w:val="CompactBullet"/>
      </w:pPr>
      <w:r>
        <w:t>• RISK reads the current Crossing condition but does not create its own clock or environmental phase.</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Time of Day belongs to the world. Rush, Window, and Velocity belong to the Highway.</w:t>
            </w:r>
          </w:p>
        </w:tc>
      </w:tr>
    </w:tbl>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Time of day changes what the animals encounter, and how the world is behaving when they encounter it.</w:t>
            </w:r>
          </w:p>
        </w:tc>
      </w:tr>
    </w:tbl>
    <w:p>
      <w:pPr>
        <w:pStyle w:val="Heading1"/>
      </w:pPr>
      <w:r>
        <w:t>6. BSA-16 - Shared Calendar and Home Day Cadence</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DAWN -&gt; Morning -&gt; Midday -&gt; Evening -&gt; Night -&gt; DAWN</w:t>
            </w:r>
          </w:p>
        </w:tc>
      </w:tr>
    </w:tbl>
    <w:p>
      <w:pPr>
        <w:pStyle w:val="Heading2"/>
      </w:pPr>
      <w:r>
        <w:t>6.1 DAWN</w:t>
      </w:r>
    </w:p>
    <w:p>
      <w:pPr/>
      <w:r>
        <w:rPr>
          <w:b/>
        </w:rPr>
        <w:t xml:space="preserve">DAWN is an informational and accounting plate, not a playable Day Band. </w:t>
      </w:r>
      <w:r>
        <w:t>It advances the calendar, consumes Sustenance, progresses the Construction Queue, resolves recovery and other daily systems, reports meaningful changes, and leads directly into Morning DWELL.</w:t>
      </w:r>
    </w:p>
    <w:p>
      <w:pPr>
        <w:pStyle w:val="CompactBullet"/>
      </w:pPr>
      <w:r>
        <w:t>• DAWN does not contain ordinary camera movement, planning, MEET, or EMBODY play.</w:t>
      </w:r>
    </w:p>
    <w:p>
      <w:pPr>
        <w:pStyle w:val="CompactBullet"/>
      </w:pPr>
      <w:r>
        <w:t>• After Night, the player explicitly advances through DAWN rather than allowing an unnoticed real-time rollover.</w:t>
      </w:r>
    </w:p>
    <w:p>
      <w:pPr>
        <w:pStyle w:val="Heading2"/>
      </w:pPr>
      <w:r>
        <w:t>6.2 The four playable Day Bands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2232"/>
            <w:shd w:fill="20364A" w:val="clear"/>
            <w:tcMar>
              <w:top w:w="85" w:type="dxa"/>
              <w:start w:w="85" w:type="dxa"/>
              <w:bottom w:w="85" w:type="dxa"/>
              <w:end w:w="85" w:type="dxa"/>
            </w:tcMar>
          </w:tcPr>
          <w:p>
            <w:pPr>
              <w:spacing w:after="0"/>
            </w:pPr>
            <w:r>
              <w:rPr>
                <w:b/>
                <w:color w:val="FFFFFF"/>
                <w:sz w:val="16"/>
              </w:rPr>
              <w:t>DAY BAND</w:t>
            </w:r>
          </w:p>
        </w:tc>
        <w:tc>
          <w:tcPr>
            <w:tcW w:type="dxa" w:w="5903"/>
            <w:shd w:fill="20364A" w:val="clear"/>
            <w:tcMar>
              <w:top w:w="85" w:type="dxa"/>
              <w:start w:w="85" w:type="dxa"/>
              <w:bottom w:w="85" w:type="dxa"/>
              <w:end w:w="85" w:type="dxa"/>
            </w:tcMar>
          </w:tcPr>
          <w:p>
            <w:pPr>
              <w:spacing w:after="0"/>
            </w:pPr>
            <w:r>
              <w:rPr>
                <w:b/>
                <w:color w:val="FFFFFF"/>
                <w:sz w:val="16"/>
              </w:rPr>
              <w:t>HOME STATE</w:t>
            </w:r>
          </w:p>
        </w:tc>
        <w:tc>
          <w:tcPr>
            <w:tcW w:type="dxa" w:w="2880"/>
            <w:shd w:fill="20364A" w:val="clear"/>
            <w:tcMar>
              <w:top w:w="85" w:type="dxa"/>
              <w:start w:w="85" w:type="dxa"/>
              <w:bottom w:w="85" w:type="dxa"/>
              <w:end w:w="85" w:type="dxa"/>
            </w:tcMar>
          </w:tcPr>
          <w:p>
            <w:pPr>
              <w:spacing w:after="0"/>
            </w:pPr>
            <w:r>
              <w:rPr>
                <w:b/>
                <w:color w:val="FFFFFF"/>
                <w:sz w:val="16"/>
              </w:rPr>
              <w:t>UNDERLYING CLOCK</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Morning</w:t>
            </w:r>
          </w:p>
        </w:tc>
        <w:tc>
          <w:tcPr>
            <w:tcW w:type="dxa" w:w="5903"/>
            <w:tcMar>
              <w:top w:w="75" w:type="dxa"/>
              <w:start w:w="85" w:type="dxa"/>
              <w:bottom w:w="75" w:type="dxa"/>
              <w:end w:w="85" w:type="dxa"/>
            </w:tcMar>
          </w:tcPr>
          <w:p>
            <w:pPr>
              <w:spacing w:after="0"/>
            </w:pPr>
            <w:r>
              <w:rPr>
                <w:color w:val="1F2529"/>
                <w:sz w:val="17"/>
              </w:rPr>
              <w:t>General DWELL until a Commitment is completed.</w:t>
            </w:r>
          </w:p>
        </w:tc>
        <w:tc>
          <w:tcPr>
            <w:tcW w:type="dxa" w:w="2880"/>
            <w:tcMar>
              <w:top w:w="75" w:type="dxa"/>
              <w:start w:w="85" w:type="dxa"/>
              <w:bottom w:w="75" w:type="dxa"/>
              <w:end w:w="85" w:type="dxa"/>
            </w:tcMar>
          </w:tcPr>
          <w:p>
            <w:pPr>
              <w:spacing w:after="0"/>
            </w:pPr>
            <w:r>
              <w:rPr>
                <w:color w:val="1F2529"/>
                <w:sz w:val="17"/>
              </w:rPr>
              <w:t>Two Time Marks.</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Midday</w:t>
            </w:r>
          </w:p>
        </w:tc>
        <w:tc>
          <w:tcPr>
            <w:tcW w:type="dxa" w:w="5903"/>
            <w:tcMar>
              <w:top w:w="75" w:type="dxa"/>
              <w:start w:w="85" w:type="dxa"/>
              <w:bottom w:w="75" w:type="dxa"/>
              <w:end w:w="85" w:type="dxa"/>
            </w:tcMar>
          </w:tcPr>
          <w:p>
            <w:pPr>
              <w:spacing w:after="0"/>
            </w:pPr>
            <w:r>
              <w:rPr>
                <w:color w:val="1F2529"/>
                <w:sz w:val="17"/>
              </w:rPr>
              <w:t>General DWELL until a Commitment is completed.</w:t>
            </w:r>
          </w:p>
        </w:tc>
        <w:tc>
          <w:tcPr>
            <w:tcW w:type="dxa" w:w="2880"/>
            <w:tcMar>
              <w:top w:w="75" w:type="dxa"/>
              <w:start w:w="85" w:type="dxa"/>
              <w:bottom w:w="75" w:type="dxa"/>
              <w:end w:w="85" w:type="dxa"/>
            </w:tcMar>
          </w:tcPr>
          <w:p>
            <w:pPr>
              <w:spacing w:after="0"/>
            </w:pPr>
            <w:r>
              <w:rPr>
                <w:color w:val="1F2529"/>
                <w:sz w:val="17"/>
              </w:rPr>
              <w:t>Two Time Marks.</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Evening</w:t>
            </w:r>
          </w:p>
        </w:tc>
        <w:tc>
          <w:tcPr>
            <w:tcW w:type="dxa" w:w="5903"/>
            <w:tcMar>
              <w:top w:w="75" w:type="dxa"/>
              <w:start w:w="85" w:type="dxa"/>
              <w:bottom w:w="75" w:type="dxa"/>
              <w:end w:w="85" w:type="dxa"/>
            </w:tcMar>
          </w:tcPr>
          <w:p>
            <w:pPr>
              <w:spacing w:after="0"/>
            </w:pPr>
            <w:r>
              <w:rPr>
                <w:color w:val="1F2529"/>
                <w:sz w:val="17"/>
              </w:rPr>
              <w:t>General DWELL until a Commitment is completed.</w:t>
            </w:r>
          </w:p>
        </w:tc>
        <w:tc>
          <w:tcPr>
            <w:tcW w:type="dxa" w:w="2880"/>
            <w:tcMar>
              <w:top w:w="75" w:type="dxa"/>
              <w:start w:w="85" w:type="dxa"/>
              <w:bottom w:w="75" w:type="dxa"/>
              <w:end w:w="85" w:type="dxa"/>
            </w:tcMar>
          </w:tcPr>
          <w:p>
            <w:pPr>
              <w:spacing w:after="0"/>
            </w:pPr>
            <w:r>
              <w:rPr>
                <w:color w:val="1F2529"/>
                <w:sz w:val="17"/>
              </w:rPr>
              <w:t>Two Time Marks.</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Night</w:t>
            </w:r>
          </w:p>
        </w:tc>
        <w:tc>
          <w:tcPr>
            <w:tcW w:type="dxa" w:w="5903"/>
            <w:tcMar>
              <w:top w:w="75" w:type="dxa"/>
              <w:start w:w="85" w:type="dxa"/>
              <w:bottom w:w="75" w:type="dxa"/>
              <w:end w:w="85" w:type="dxa"/>
            </w:tcMar>
          </w:tcPr>
          <w:p>
            <w:pPr>
              <w:spacing w:after="0"/>
            </w:pPr>
            <w:r>
              <w:rPr>
                <w:color w:val="1F2529"/>
                <w:sz w:val="17"/>
              </w:rPr>
              <w:t>General DWELL until the player proceeds to DAWN.</w:t>
            </w:r>
          </w:p>
        </w:tc>
        <w:tc>
          <w:tcPr>
            <w:tcW w:type="dxa" w:w="2880"/>
            <w:tcMar>
              <w:top w:w="75" w:type="dxa"/>
              <w:start w:w="85" w:type="dxa"/>
              <w:bottom w:w="75" w:type="dxa"/>
              <w:end w:w="85" w:type="dxa"/>
            </w:tcMar>
          </w:tcPr>
          <w:p>
            <w:pPr>
              <w:spacing w:after="0"/>
            </w:pPr>
            <w:r>
              <w:rPr>
                <w:color w:val="1F2529"/>
                <w:sz w:val="17"/>
              </w:rPr>
              <w:t>Two Time Marks.</w:t>
            </w:r>
          </w:p>
        </w:tc>
      </w:tr>
    </w:tbl>
    <w:p>
      <w:pPr>
        <w:pStyle w:val="CompactBullet"/>
      </w:pPr>
      <w:r>
        <w:t>• General DWELL freezes within the current Day Band. Inspection, planning, Citizen View, camera movement, reading, overlays, ordinary equipment management, and similar interface use do not advance time.</w:t>
      </w:r>
    </w:p>
    <w:p>
      <w:pPr>
        <w:pStyle w:val="CompactBullet"/>
      </w:pPr>
      <w:r>
        <w:t>• EMBODY occurs in the current Day Band and does not advance it. The band changes the experience and availability of ordinary life without turning EMBODY into a time-payment action.</w:t>
      </w:r>
    </w:p>
    <w:p>
      <w:pPr>
        <w:pStyle w:val="CompactBullet"/>
      </w:pPr>
      <w:r>
        <w:t>• The two Time Marks are the shared clock beneath Home and Away. Home normally presents time at whole-band resolution and need not display half-spent bands during ordinary DWELL.</w:t>
      </w:r>
    </w:p>
    <w:p>
      <w:pPr>
        <w:pStyle w:val="Heading2"/>
      </w:pPr>
      <w:r>
        <w:t>6.3 Home Commitments</w:t>
      </w:r>
    </w:p>
    <w:p>
      <w:pPr/>
      <w:r>
        <w:rPr>
          <w:b/>
        </w:rPr>
        <w:t xml:space="preserve">Commitment. </w:t>
      </w:r>
      <w:r>
        <w:t>A bounded player action in DWELL that represents meaningful Colony time and changes persistent Colony state, however small.</w:t>
      </w:r>
    </w:p>
    <w:p>
      <w:pPr>
        <w:pStyle w:val="CompactBullet"/>
      </w:pPr>
      <w:r>
        <w:t>• A normal Home Commitment consumes both Time Marks in the current band. Completing it and returning to general DWELL advances the world to the next Day Band.</w:t>
      </w:r>
    </w:p>
    <w:p>
      <w:pPr>
        <w:pStyle w:val="CompactBullet"/>
      </w:pPr>
      <w:r>
        <w:t>• Baseline Commitments include establishing or building a Place, designating its Practice, authorizing a significant Project, conducting a consequential civic ceremony or decision, resolving any Home MEET, executing Expedition Launch, and receiving an Expedition through Homecoming.</w:t>
      </w:r>
    </w:p>
    <w:p>
      <w:pPr>
        <w:pStyle w:val="CompactBullet"/>
      </w:pPr>
      <w:r>
        <w:t>• A Home MEET always represents duration even when its interface resolution is brief. MEET compresses time; it does not occur outside time.</w:t>
      </w:r>
    </w:p>
    <w:p>
      <w:pPr>
        <w:pStyle w:val="CompactBullet"/>
      </w:pPr>
      <w:r>
        <w:t>• Homecoming is one existing full-band Commitment: receiving the party, unloading, treating immediate effects, welcoming arrivals, acknowledging losses, and absorbing the Expedition into Home.</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Commitments advance the Day. DAWN advances the calendar.</w:t>
            </w:r>
          </w:p>
        </w:tc>
      </w:tr>
    </w:tbl>
    <w:p>
      <w:pPr>
        <w:pStyle w:val="Heading1"/>
      </w:pPr>
      <w:r>
        <w:t>7. BSA-17 - Away Time Cadence</w:t>
      </w:r>
    </w:p>
    <w:p>
      <w:pPr/>
      <w:r>
        <w:rPr>
          <w:b/>
        </w:rPr>
        <w:t xml:space="preserve">Shared-clock rule. </w:t>
      </w:r>
      <w:r>
        <w:t>Home and Away use the same Day Bands. Away resolves those bands at the finer scale of two Time Marks per band.</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3024"/>
            <w:shd w:fill="20364A" w:val="clear"/>
            <w:tcMar>
              <w:top w:w="85" w:type="dxa"/>
              <w:start w:w="85" w:type="dxa"/>
              <w:bottom w:w="85" w:type="dxa"/>
              <w:end w:w="85" w:type="dxa"/>
            </w:tcMar>
          </w:tcPr>
          <w:p>
            <w:pPr>
              <w:spacing w:after="0"/>
            </w:pPr>
            <w:r>
              <w:rPr>
                <w:b/>
                <w:color w:val="FFFFFF"/>
                <w:sz w:val="16"/>
              </w:rPr>
              <w:t>AWAY ACTIVITY</w:t>
            </w:r>
          </w:p>
        </w:tc>
        <w:tc>
          <w:tcPr>
            <w:tcW w:type="dxa" w:w="1944"/>
            <w:shd w:fill="20364A" w:val="clear"/>
            <w:tcMar>
              <w:top w:w="85" w:type="dxa"/>
              <w:start w:w="85" w:type="dxa"/>
              <w:bottom w:w="85" w:type="dxa"/>
              <w:end w:w="85" w:type="dxa"/>
            </w:tcMar>
          </w:tcPr>
          <w:p>
            <w:pPr>
              <w:spacing w:after="0"/>
            </w:pPr>
            <w:r>
              <w:rPr>
                <w:b/>
                <w:color w:val="FFFFFF"/>
                <w:sz w:val="16"/>
              </w:rPr>
              <w:t>TIME COST</w:t>
            </w:r>
          </w:p>
        </w:tc>
        <w:tc>
          <w:tcPr>
            <w:tcW w:type="dxa" w:w="6048"/>
            <w:shd w:fill="20364A" w:val="clear"/>
            <w:tcMar>
              <w:top w:w="85" w:type="dxa"/>
              <w:start w:w="85" w:type="dxa"/>
              <w:bottom w:w="85" w:type="dxa"/>
              <w:end w:w="85" w:type="dxa"/>
            </w:tcMar>
          </w:tcPr>
          <w:p>
            <w:pPr>
              <w:spacing w:after="0"/>
            </w:pPr>
            <w:r>
              <w:rPr>
                <w:b/>
                <w:color w:val="FFFFFF"/>
                <w:sz w:val="16"/>
              </w:rPr>
              <w:t>BASELINE MEANING</w:t>
            </w:r>
          </w:p>
        </w:tc>
      </w:tr>
      <w:tr>
        <w:trPr>
          <w:cantSplit/>
        </w:trPr>
        <w:tc>
          <w:tcPr>
            <w:tcW w:type="dxa" w:w="3024"/>
            <w:shd w:fill="E8EFF5" w:val="clear"/>
            <w:tcMar>
              <w:top w:w="75" w:type="dxa"/>
              <w:start w:w="85" w:type="dxa"/>
              <w:bottom w:w="75" w:type="dxa"/>
              <w:end w:w="85" w:type="dxa"/>
            </w:tcMar>
          </w:tcPr>
          <w:p>
            <w:pPr>
              <w:spacing w:after="0"/>
            </w:pPr>
            <w:r>
              <w:rPr>
                <w:b/>
                <w:color w:val="20364A"/>
                <w:sz w:val="17"/>
              </w:rPr>
              <w:t>Meaningful TRAVEL leg</w:t>
            </w:r>
          </w:p>
        </w:tc>
        <w:tc>
          <w:tcPr>
            <w:tcW w:type="dxa" w:w="1944"/>
            <w:tcMar>
              <w:top w:w="75" w:type="dxa"/>
              <w:start w:w="85" w:type="dxa"/>
              <w:bottom w:w="75" w:type="dxa"/>
              <w:end w:w="85" w:type="dxa"/>
            </w:tcMar>
          </w:tcPr>
          <w:p>
            <w:pPr>
              <w:spacing w:after="0"/>
            </w:pPr>
            <w:r>
              <w:rPr>
                <w:color w:val="1F2529"/>
                <w:sz w:val="17"/>
              </w:rPr>
              <w:t>1 Time Mark</w:t>
            </w:r>
          </w:p>
        </w:tc>
        <w:tc>
          <w:tcPr>
            <w:tcW w:type="dxa" w:w="6048"/>
            <w:tcMar>
              <w:top w:w="75" w:type="dxa"/>
              <w:start w:w="85" w:type="dxa"/>
              <w:bottom w:w="75" w:type="dxa"/>
              <w:end w:w="85" w:type="dxa"/>
            </w:tcMar>
          </w:tcPr>
          <w:p>
            <w:pPr>
              <w:spacing w:after="0"/>
            </w:pPr>
            <w:r>
              <w:rPr>
                <w:color w:val="1F2529"/>
                <w:sz w:val="17"/>
              </w:rPr>
              <w:t>A bounded movement between significant route states or locations; not every animation or camera pan.</w:t>
            </w:r>
          </w:p>
        </w:tc>
      </w:tr>
      <w:tr>
        <w:trPr>
          <w:cantSplit/>
        </w:trPr>
        <w:tc>
          <w:tcPr>
            <w:tcW w:type="dxa" w:w="3024"/>
            <w:shd w:fill="E8EFF5" w:val="clear"/>
            <w:tcMar>
              <w:top w:w="75" w:type="dxa"/>
              <w:start w:w="85" w:type="dxa"/>
              <w:bottom w:w="75" w:type="dxa"/>
              <w:end w:w="85" w:type="dxa"/>
            </w:tcMar>
          </w:tcPr>
          <w:p>
            <w:pPr>
              <w:spacing w:after="0"/>
            </w:pPr>
            <w:r>
              <w:rPr>
                <w:b/>
                <w:color w:val="20364A"/>
                <w:sz w:val="17"/>
              </w:rPr>
              <w:t>Brief MEET</w:t>
            </w:r>
          </w:p>
        </w:tc>
        <w:tc>
          <w:tcPr>
            <w:tcW w:type="dxa" w:w="1944"/>
            <w:tcMar>
              <w:top w:w="75" w:type="dxa"/>
              <w:start w:w="85" w:type="dxa"/>
              <w:bottom w:w="75" w:type="dxa"/>
              <w:end w:w="85" w:type="dxa"/>
            </w:tcMar>
          </w:tcPr>
          <w:p>
            <w:pPr>
              <w:spacing w:after="0"/>
            </w:pPr>
            <w:r>
              <w:rPr>
                <w:color w:val="1F2529"/>
                <w:sz w:val="17"/>
              </w:rPr>
              <w:t>1 Time Mark</w:t>
            </w:r>
          </w:p>
        </w:tc>
        <w:tc>
          <w:tcPr>
            <w:tcW w:type="dxa" w:w="6048"/>
            <w:tcMar>
              <w:top w:w="75" w:type="dxa"/>
              <w:start w:w="85" w:type="dxa"/>
              <w:bottom w:w="75" w:type="dxa"/>
              <w:end w:w="85" w:type="dxa"/>
            </w:tcMar>
          </w:tcPr>
          <w:p>
            <w:pPr>
              <w:spacing w:after="0"/>
            </w:pPr>
            <w:r>
              <w:rPr>
                <w:color w:val="1F2529"/>
                <w:sz w:val="17"/>
              </w:rPr>
              <w:t>A bounded situation whose duration fits within half a Day Band.</w:t>
            </w:r>
          </w:p>
        </w:tc>
      </w:tr>
      <w:tr>
        <w:trPr>
          <w:cantSplit/>
        </w:trPr>
        <w:tc>
          <w:tcPr>
            <w:tcW w:type="dxa" w:w="3024"/>
            <w:shd w:fill="E8EFF5" w:val="clear"/>
            <w:tcMar>
              <w:top w:w="75" w:type="dxa"/>
              <w:start w:w="85" w:type="dxa"/>
              <w:bottom w:w="75" w:type="dxa"/>
              <w:end w:w="85" w:type="dxa"/>
            </w:tcMar>
          </w:tcPr>
          <w:p>
            <w:pPr>
              <w:spacing w:after="0"/>
            </w:pPr>
            <w:r>
              <w:rPr>
                <w:b/>
                <w:color w:val="20364A"/>
                <w:sz w:val="17"/>
              </w:rPr>
              <w:t>Extended MEET</w:t>
            </w:r>
          </w:p>
        </w:tc>
        <w:tc>
          <w:tcPr>
            <w:tcW w:type="dxa" w:w="1944"/>
            <w:tcMar>
              <w:top w:w="75" w:type="dxa"/>
              <w:start w:w="85" w:type="dxa"/>
              <w:bottom w:w="75" w:type="dxa"/>
              <w:end w:w="85" w:type="dxa"/>
            </w:tcMar>
          </w:tcPr>
          <w:p>
            <w:pPr>
              <w:spacing w:after="0"/>
            </w:pPr>
            <w:r>
              <w:rPr>
                <w:color w:val="1F2529"/>
                <w:sz w:val="17"/>
              </w:rPr>
              <w:t>2 Time Marks</w:t>
            </w:r>
          </w:p>
        </w:tc>
        <w:tc>
          <w:tcPr>
            <w:tcW w:type="dxa" w:w="6048"/>
            <w:tcMar>
              <w:top w:w="75" w:type="dxa"/>
              <w:start w:w="85" w:type="dxa"/>
              <w:bottom w:w="75" w:type="dxa"/>
              <w:end w:w="85" w:type="dxa"/>
            </w:tcMar>
          </w:tcPr>
          <w:p>
            <w:pPr>
              <w:spacing w:after="0"/>
            </w:pPr>
            <w:r>
              <w:rPr>
                <w:color w:val="1F2529"/>
                <w:sz w:val="17"/>
              </w:rPr>
              <w:t>A situation that occupies the whole current Day Band.</w:t>
            </w:r>
          </w:p>
        </w:tc>
      </w:tr>
      <w:tr>
        <w:trPr>
          <w:cantSplit/>
        </w:trPr>
        <w:tc>
          <w:tcPr>
            <w:tcW w:type="dxa" w:w="3024"/>
            <w:shd w:fill="E8EFF5" w:val="clear"/>
            <w:tcMar>
              <w:top w:w="75" w:type="dxa"/>
              <w:start w:w="85" w:type="dxa"/>
              <w:bottom w:w="75" w:type="dxa"/>
              <w:end w:w="85" w:type="dxa"/>
            </w:tcMar>
          </w:tcPr>
          <w:p>
            <w:pPr>
              <w:spacing w:after="0"/>
            </w:pPr>
            <w:r>
              <w:rPr>
                <w:b/>
                <w:color w:val="20364A"/>
                <w:sz w:val="17"/>
              </w:rPr>
              <w:t>RISK Crossing</w:t>
            </w:r>
          </w:p>
        </w:tc>
        <w:tc>
          <w:tcPr>
            <w:tcW w:type="dxa" w:w="1944"/>
            <w:tcMar>
              <w:top w:w="75" w:type="dxa"/>
              <w:start w:w="85" w:type="dxa"/>
              <w:bottom w:w="75" w:type="dxa"/>
              <w:end w:w="85" w:type="dxa"/>
            </w:tcMar>
          </w:tcPr>
          <w:p>
            <w:pPr>
              <w:spacing w:after="0"/>
            </w:pPr>
            <w:r>
              <w:rPr>
                <w:color w:val="1F2529"/>
                <w:sz w:val="17"/>
              </w:rPr>
              <w:t>No additional Mark</w:t>
            </w:r>
          </w:p>
        </w:tc>
        <w:tc>
          <w:tcPr>
            <w:tcW w:type="dxa" w:w="6048"/>
            <w:tcMar>
              <w:top w:w="75" w:type="dxa"/>
              <w:start w:w="85" w:type="dxa"/>
              <w:bottom w:w="75" w:type="dxa"/>
              <w:end w:w="85" w:type="dxa"/>
            </w:tcMar>
          </w:tcPr>
          <w:p>
            <w:pPr>
              <w:spacing w:after="0"/>
            </w:pPr>
            <w:r>
              <w:rPr>
                <w:color w:val="1F2529"/>
                <w:sz w:val="17"/>
              </w:rPr>
              <w:t>Uses the current Day Band and Crossing condition as the hazardous threshold within movement.</w:t>
            </w:r>
          </w:p>
        </w:tc>
      </w:tr>
    </w:tbl>
    <w:p>
      <w:pPr>
        <w:pStyle w:val="CompactBullet"/>
      </w:pPr>
      <w:r>
        <w:t>• Two spent Time Marks advance the world to the next Day Band.</w:t>
      </w:r>
    </w:p>
    <w:p>
      <w:pPr>
        <w:pStyle w:val="CompactBullet"/>
      </w:pPr>
      <w:r>
        <w:t>• Contested MEETs are normally Extended. Uncontested MEETs are normally Brief. Authored duration may override the default when the situation plainly requires it.</w:t>
      </w:r>
    </w:p>
    <w:p>
      <w:pPr>
        <w:pStyle w:val="CompactBullet"/>
      </w:pPr>
      <w:r>
        <w:t>• RISK does not normally charge a separate Mark because the Crossing is the dangerous threshold between travel spaces, not another duration-bearing leg layered on top of them.</w:t>
      </w:r>
    </w:p>
    <w:p>
      <w:pPr>
        <w:pStyle w:val="CompactBullet"/>
      </w:pPr>
      <w:r>
        <w:t>• The clock continues while the party is Away. Node Conditions, MEET backplates, and Crossing conditions update when the Day Band changes.</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Away time advances through distance and duration.</w:t>
            </w:r>
          </w:p>
        </w:tc>
      </w:tr>
    </w:tbl>
    <w:p>
      <w:pPr>
        <w:pStyle w:val="Heading1"/>
      </w:pPr>
      <w:r>
        <w:t>8. BSA-19 - Species Movement and Party Pace</w:t>
      </w:r>
    </w:p>
    <w:p>
      <w:pPr/>
      <w:r>
        <w:rPr>
          <w:b/>
        </w:rPr>
        <w:t xml:space="preserve">Original physical triad. </w:t>
      </w:r>
      <w:r>
        <w:t>The baseline preserves one simple bodily distinction for each Core Species and expresses it through existing systems.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2088"/>
            <w:shd w:fill="20364A" w:val="clear"/>
            <w:tcMar>
              <w:top w:w="85" w:type="dxa"/>
              <w:start w:w="85" w:type="dxa"/>
              <w:bottom w:w="85" w:type="dxa"/>
              <w:end w:w="85" w:type="dxa"/>
            </w:tcMar>
          </w:tcPr>
          <w:p>
            <w:pPr>
              <w:spacing w:after="0"/>
            </w:pPr>
            <w:r>
              <w:rPr>
                <w:b/>
                <w:color w:val="FFFFFF"/>
                <w:sz w:val="16"/>
              </w:rPr>
              <w:t>CORE SPECIES</w:t>
            </w:r>
          </w:p>
        </w:tc>
        <w:tc>
          <w:tcPr>
            <w:tcW w:type="dxa" w:w="3384"/>
            <w:shd w:fill="20364A" w:val="clear"/>
            <w:tcMar>
              <w:top w:w="85" w:type="dxa"/>
              <w:start w:w="85" w:type="dxa"/>
              <w:bottom w:w="85" w:type="dxa"/>
              <w:end w:w="85" w:type="dxa"/>
            </w:tcMar>
          </w:tcPr>
          <w:p>
            <w:pPr>
              <w:spacing w:after="0"/>
            </w:pPr>
            <w:r>
              <w:rPr>
                <w:b/>
                <w:color w:val="FFFFFF"/>
                <w:sz w:val="16"/>
              </w:rPr>
              <w:t>SIMPLE PHYSICAL DISTINCTION</w:t>
            </w:r>
          </w:p>
        </w:tc>
        <w:tc>
          <w:tcPr>
            <w:tcW w:type="dxa" w:w="5544"/>
            <w:shd w:fill="20364A" w:val="clear"/>
            <w:tcMar>
              <w:top w:w="85" w:type="dxa"/>
              <w:start w:w="85" w:type="dxa"/>
              <w:bottom w:w="85" w:type="dxa"/>
              <w:end w:w="85" w:type="dxa"/>
            </w:tcMar>
          </w:tcPr>
          <w:p>
            <w:pPr>
              <w:spacing w:after="0"/>
            </w:pPr>
            <w:r>
              <w:rPr>
                <w:b/>
                <w:color w:val="FFFFFF"/>
                <w:sz w:val="16"/>
              </w:rPr>
              <w:t>SYSTEMIC EXPRESSION</w:t>
            </w:r>
          </w:p>
        </w:tc>
      </w:tr>
      <w:tr>
        <w:trPr>
          <w:cantSplit/>
        </w:trPr>
        <w:tc>
          <w:tcPr>
            <w:tcW w:type="dxa" w:w="2088"/>
            <w:shd w:fill="E8EFF5" w:val="clear"/>
            <w:tcMar>
              <w:top w:w="75" w:type="dxa"/>
              <w:start w:w="85" w:type="dxa"/>
              <w:bottom w:w="75" w:type="dxa"/>
              <w:end w:w="85" w:type="dxa"/>
            </w:tcMar>
          </w:tcPr>
          <w:p>
            <w:pPr>
              <w:spacing w:after="0"/>
            </w:pPr>
            <w:r>
              <w:rPr>
                <w:b/>
                <w:color w:val="20364A"/>
                <w:sz w:val="17"/>
              </w:rPr>
              <w:t>Rabbit</w:t>
            </w:r>
          </w:p>
        </w:tc>
        <w:tc>
          <w:tcPr>
            <w:tcW w:type="dxa" w:w="3384"/>
            <w:tcMar>
              <w:top w:w="75" w:type="dxa"/>
              <w:start w:w="85" w:type="dxa"/>
              <w:bottom w:w="75" w:type="dxa"/>
              <w:end w:w="85" w:type="dxa"/>
            </w:tcMar>
          </w:tcPr>
          <w:p>
            <w:pPr>
              <w:spacing w:after="0"/>
            </w:pPr>
            <w:r>
              <w:rPr>
                <w:color w:val="1F2529"/>
                <w:sz w:val="17"/>
              </w:rPr>
              <w:t>Twice normal movement progress.</w:t>
            </w:r>
          </w:p>
        </w:tc>
        <w:tc>
          <w:tcPr>
            <w:tcW w:type="dxa" w:w="5544"/>
            <w:tcMar>
              <w:top w:w="75" w:type="dxa"/>
              <w:start w:w="85" w:type="dxa"/>
              <w:bottom w:w="75" w:type="dxa"/>
              <w:end w:w="85" w:type="dxa"/>
            </w:tcMar>
          </w:tcPr>
          <w:p>
            <w:pPr>
              <w:spacing w:after="0"/>
            </w:pPr>
            <w:r>
              <w:rPr>
                <w:color w:val="1F2529"/>
                <w:sz w:val="17"/>
              </w:rPr>
              <w:t>2x TRAVEL progress within the same Time Mark; superior Crossing acuity in RISK.</w:t>
            </w:r>
          </w:p>
        </w:tc>
      </w:tr>
      <w:tr>
        <w:trPr>
          <w:cantSplit/>
        </w:trPr>
        <w:tc>
          <w:tcPr>
            <w:tcW w:type="dxa" w:w="2088"/>
            <w:shd w:fill="E8EFF5" w:val="clear"/>
            <w:tcMar>
              <w:top w:w="75" w:type="dxa"/>
              <w:start w:w="85" w:type="dxa"/>
              <w:bottom w:w="75" w:type="dxa"/>
              <w:end w:w="85" w:type="dxa"/>
            </w:tcMar>
          </w:tcPr>
          <w:p>
            <w:pPr>
              <w:spacing w:after="0"/>
            </w:pPr>
            <w:r>
              <w:rPr>
                <w:b/>
                <w:color w:val="20364A"/>
                <w:sz w:val="17"/>
              </w:rPr>
              <w:t>Squirrel</w:t>
            </w:r>
          </w:p>
        </w:tc>
        <w:tc>
          <w:tcPr>
            <w:tcW w:type="dxa" w:w="3384"/>
            <w:tcMar>
              <w:top w:w="75" w:type="dxa"/>
              <w:start w:w="85" w:type="dxa"/>
              <w:bottom w:w="75" w:type="dxa"/>
              <w:end w:w="85" w:type="dxa"/>
            </w:tcMar>
          </w:tcPr>
          <w:p>
            <w:pPr>
              <w:spacing w:after="0"/>
            </w:pPr>
            <w:r>
              <w:rPr>
                <w:color w:val="1F2529"/>
                <w:sz w:val="17"/>
              </w:rPr>
              <w:t>Twice normal Carry.</w:t>
            </w:r>
          </w:p>
        </w:tc>
        <w:tc>
          <w:tcPr>
            <w:tcW w:type="dxa" w:w="5544"/>
            <w:tcMar>
              <w:top w:w="75" w:type="dxa"/>
              <w:start w:w="85" w:type="dxa"/>
              <w:bottom w:w="75" w:type="dxa"/>
              <w:end w:w="85" w:type="dxa"/>
            </w:tcMar>
          </w:tcPr>
          <w:p>
            <w:pPr>
              <w:spacing w:after="0"/>
            </w:pPr>
            <w:r>
              <w:rPr>
                <w:color w:val="1F2529"/>
                <w:sz w:val="17"/>
              </w:rPr>
              <w:t>The established higher party Carry frame.</w:t>
            </w:r>
          </w:p>
        </w:tc>
      </w:tr>
      <w:tr>
        <w:trPr>
          <w:cantSplit/>
        </w:trPr>
        <w:tc>
          <w:tcPr>
            <w:tcW w:type="dxa" w:w="2088"/>
            <w:shd w:fill="E8EFF5" w:val="clear"/>
            <w:tcMar>
              <w:top w:w="75" w:type="dxa"/>
              <w:start w:w="85" w:type="dxa"/>
              <w:bottom w:w="75" w:type="dxa"/>
              <w:end w:w="85" w:type="dxa"/>
            </w:tcMar>
          </w:tcPr>
          <w:p>
            <w:pPr>
              <w:spacing w:after="0"/>
            </w:pPr>
            <w:r>
              <w:rPr>
                <w:b/>
                <w:color w:val="20364A"/>
                <w:sz w:val="17"/>
              </w:rPr>
              <w:t>Mouse</w:t>
            </w:r>
          </w:p>
        </w:tc>
        <w:tc>
          <w:tcPr>
            <w:tcW w:type="dxa" w:w="3384"/>
            <w:tcMar>
              <w:top w:w="75" w:type="dxa"/>
              <w:start w:w="85" w:type="dxa"/>
              <w:bottom w:w="75" w:type="dxa"/>
              <w:end w:w="85" w:type="dxa"/>
            </w:tcMar>
          </w:tcPr>
          <w:p>
            <w:pPr>
              <w:spacing w:after="0"/>
            </w:pPr>
            <w:r>
              <w:rPr>
                <w:color w:val="1F2529"/>
                <w:sz w:val="17"/>
              </w:rPr>
              <w:t>Half-scale body-unit resolution.</w:t>
            </w:r>
          </w:p>
        </w:tc>
        <w:tc>
          <w:tcPr>
            <w:tcW w:type="dxa" w:w="5544"/>
            <w:tcMar>
              <w:top w:w="75" w:type="dxa"/>
              <w:start w:w="85" w:type="dxa"/>
              <w:bottom w:w="75" w:type="dxa"/>
              <w:end w:w="85" w:type="dxa"/>
            </w:tcMar>
          </w:tcPr>
          <w:p>
            <w:pPr>
              <w:spacing w:after="0"/>
            </w:pPr>
            <w:r>
              <w:rPr>
                <w:color w:val="1F2529"/>
                <w:sz w:val="17"/>
              </w:rPr>
              <w:t>Two Mice equal one body-unit for bodily logistics while remaining two named Citizens.</w:t>
            </w:r>
          </w:p>
        </w:tc>
      </w:tr>
    </w:tbl>
    <w:p>
      <w:pPr>
        <w:pStyle w:val="Heading2"/>
      </w:pPr>
      <w:r>
        <w:t>8.1 Rabbit speed</w:t>
      </w:r>
    </w:p>
    <w:p>
      <w:pPr>
        <w:pStyle w:val="CompactBullet"/>
      </w:pPr>
      <w:r>
        <w:t>• A Rabbit party covers twice the normal TRAVEL progress in one Time Mark.</w:t>
      </w:r>
    </w:p>
    <w:p>
      <w:pPr>
        <w:pStyle w:val="CompactBullet"/>
      </w:pPr>
      <w:r>
        <w:t>• Rabbit Crossing acuity represents the ability to exploit a traffic window, accelerate, redirect, and recover more effectively. Exact manifestation and tuning may vary, but the advantage belongs inside Crossing RISK.</w:t>
      </w:r>
    </w:p>
    <w:p>
      <w:pPr>
        <w:pStyle w:val="CompactBullet"/>
      </w:pPr>
      <w:r>
        <w:t>• Rabbit speed does not grant additional actions, MEET Turns, choices, Focus opportunities, shorter MEET duration, faster thought, or a larger decision economy.</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Rabbits move faster; they do not experience more time.</w:t>
            </w:r>
          </w:p>
        </w:tc>
      </w:tr>
    </w:tbl>
    <w:p>
      <w:pPr>
        <w:pStyle w:val="Heading2"/>
      </w:pPr>
      <w:r>
        <w:t>8.2 Core Species determines party pace</w:t>
      </w:r>
    </w:p>
    <w:p>
      <w:pPr>
        <w:pStyle w:val="CompactBullet"/>
      </w:pPr>
      <w:r>
        <w:t>• Every Expedition party uses the movement profile of its Colony's Core Species, regardless of individual party composition.</w:t>
      </w:r>
    </w:p>
    <w:p>
      <w:pPr>
        <w:pStyle w:val="CompactBullet"/>
      </w:pPr>
      <w:r>
        <w:t>• Guest Citizens neither accelerate nor slow the party. Their anatomy and locomotion may appear diegetically in animation, staging, and prose, but do not create mixed-party pace calculations or individual Crossing modifiers.</w:t>
      </w:r>
    </w:p>
    <w:p>
      <w:pPr>
        <w:pStyle w:val="CompactBullet"/>
      </w:pPr>
      <w:r>
        <w:t>• A Rabbit Colony therefore receives Rabbit TRAVEL progress and Crossing acuity even when Guests are present. Mouse and Squirrel Colonies retain their own standard movement profiles.</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Core Species determines how the party moves through the corridor. Guests change who undertakes the journey, not the journey's clock.</w:t>
            </w:r>
          </w:p>
        </w:tc>
      </w:tr>
    </w:tbl>
    <w:p>
      <w:pPr>
        <w:pStyle w:val="Heading1"/>
      </w:pPr>
      <w:r>
        <w:t>9. BSA-20 - Tier Advancement and Advanced Practices</w:t>
      </w:r>
    </w:p>
    <w:p>
      <w:pPr/>
      <w:r>
        <w:rPr>
          <w:b/>
        </w:rPr>
        <w:t xml:space="preserve">Tier doctrine. </w:t>
      </w:r>
      <w:r>
        <w:t>A Tier records what the Colony has proved it can carry. Advancement expands available possibilities; it does not instantly transform the settlement.</w:t>
      </w:r>
    </w:p>
    <w:p>
      <w:pPr>
        <w:pStyle w:val="CompactBullet"/>
      </w:pPr>
      <w:r>
        <w:t>• There is no Age of Empires-style global building reskin, universal Place upgrade, or free replacement of earlier architecture.</w:t>
      </w:r>
    </w:p>
    <w:p>
      <w:pPr>
        <w:pStyle w:val="CompactBullet"/>
      </w:pPr>
      <w:r>
        <w:t>• Tier advancement does not increase every Citizen's statistics, grant free Role Capacity, improve every Place of a family, or create an automatic efficiency bonus.</w:t>
      </w:r>
    </w:p>
    <w:p>
      <w:pPr>
        <w:pStyle w:val="CompactBullet"/>
      </w:pPr>
      <w:r>
        <w:t>• A new Tier makes the next band of Places, Practices, Projects, Expeditions, civic decisions, and social content eligible to enter play.</w:t>
      </w:r>
    </w:p>
    <w:p>
      <w:pPr>
        <w:pStyle w:val="Heading2"/>
      </w:pPr>
      <w:r>
        <w:t>9.1 Learning an advanced Practice</w:t>
      </w:r>
    </w:p>
    <w:p>
      <w:pPr>
        <w:pStyle w:val="CompactBullet"/>
      </w:pPr>
      <w:r>
        <w:t>• An advanced Practice becomes eligible only after the appropriate Tier has been recognized.</w:t>
      </w:r>
    </w:p>
    <w:p>
      <w:pPr>
        <w:pStyle w:val="CompactBullet"/>
      </w:pPr>
      <w:r>
        <w:t>• The Practice is then learned directly through either an authored Colony MEET at Home or a Rest Stop Metropolis social MEET.</w:t>
      </w:r>
    </w:p>
    <w:p>
      <w:pPr>
        <w:pStyle w:val="CompactBullet"/>
      </w:pPr>
      <w:r>
        <w:t>• Learned is a direct persistent availability state, not Knowledge, research points, or a technology-tree purchase.</w:t>
      </w:r>
    </w:p>
    <w:p>
      <w:pPr>
        <w:pStyle w:val="CompactBullet"/>
      </w:pPr>
      <w:r>
        <w:t>• The player must still execute the appropriate Project through the Construction Queue to embody the Practice in a particular Place.</w:t>
      </w:r>
    </w:p>
    <w:p>
      <w:pPr>
        <w:pStyle w:val="Heading2"/>
      </w:pPr>
      <w:r>
        <w:t>9.2 Progression chain</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2232"/>
            <w:shd w:fill="20364A" w:val="clear"/>
            <w:tcMar>
              <w:top w:w="85" w:type="dxa"/>
              <w:start w:w="85" w:type="dxa"/>
              <w:bottom w:w="85" w:type="dxa"/>
              <w:end w:w="85" w:type="dxa"/>
            </w:tcMar>
          </w:tcPr>
          <w:p>
            <w:pPr>
              <w:spacing w:after="0"/>
            </w:pPr>
            <w:r>
              <w:rPr>
                <w:b/>
                <w:color w:val="FFFFFF"/>
                <w:sz w:val="16"/>
              </w:rPr>
              <w:t>STEP</w:t>
            </w:r>
          </w:p>
        </w:tc>
        <w:tc>
          <w:tcPr>
            <w:tcW w:type="dxa" w:w="4680"/>
            <w:shd w:fill="20364A" w:val="clear"/>
            <w:tcMar>
              <w:top w:w="85" w:type="dxa"/>
              <w:start w:w="85" w:type="dxa"/>
              <w:bottom w:w="85" w:type="dxa"/>
              <w:end w:w="85" w:type="dxa"/>
            </w:tcMar>
          </w:tcPr>
          <w:p>
            <w:pPr>
              <w:spacing w:after="0"/>
            </w:pPr>
            <w:r>
              <w:rPr>
                <w:b/>
                <w:color w:val="FFFFFF"/>
                <w:sz w:val="16"/>
              </w:rPr>
              <w:t>WHAT BECOMES TRUE</w:t>
            </w:r>
          </w:p>
        </w:tc>
        <w:tc>
          <w:tcPr>
            <w:tcW w:type="dxa" w:w="4104"/>
            <w:shd w:fill="20364A" w:val="clear"/>
            <w:tcMar>
              <w:top w:w="85" w:type="dxa"/>
              <w:start w:w="85" w:type="dxa"/>
              <w:bottom w:w="85" w:type="dxa"/>
              <w:end w:w="85" w:type="dxa"/>
            </w:tcMar>
          </w:tcPr>
          <w:p>
            <w:pPr>
              <w:spacing w:after="0"/>
            </w:pPr>
            <w:r>
              <w:rPr>
                <w:b/>
                <w:color w:val="FFFFFF"/>
                <w:sz w:val="16"/>
              </w:rPr>
              <w:t>WHAT DOES NOT HAPPEN</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Tier eligibility</w:t>
            </w:r>
          </w:p>
        </w:tc>
        <w:tc>
          <w:tcPr>
            <w:tcW w:type="dxa" w:w="4680"/>
            <w:tcMar>
              <w:top w:w="75" w:type="dxa"/>
              <w:start w:w="85" w:type="dxa"/>
              <w:bottom w:w="75" w:type="dxa"/>
              <w:end w:w="85" w:type="dxa"/>
            </w:tcMar>
          </w:tcPr>
          <w:p>
            <w:pPr>
              <w:spacing w:after="0"/>
            </w:pPr>
            <w:r>
              <w:rPr>
                <w:color w:val="1F2529"/>
                <w:sz w:val="17"/>
              </w:rPr>
              <w:t>The Practice may now be authored and learned.</w:t>
            </w:r>
          </w:p>
        </w:tc>
        <w:tc>
          <w:tcPr>
            <w:tcW w:type="dxa" w:w="4104"/>
            <w:tcMar>
              <w:top w:w="75" w:type="dxa"/>
              <w:start w:w="85" w:type="dxa"/>
              <w:bottom w:w="75" w:type="dxa"/>
              <w:end w:w="85" w:type="dxa"/>
            </w:tcMar>
          </w:tcPr>
          <w:p>
            <w:pPr>
              <w:spacing w:after="0"/>
            </w:pPr>
            <w:r>
              <w:rPr>
                <w:color w:val="1F2529"/>
                <w:sz w:val="17"/>
              </w:rPr>
              <w:t>No Place changes.</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MEET learning</w:t>
            </w:r>
          </w:p>
        </w:tc>
        <w:tc>
          <w:tcPr>
            <w:tcW w:type="dxa" w:w="4680"/>
            <w:tcMar>
              <w:top w:w="75" w:type="dxa"/>
              <w:start w:w="85" w:type="dxa"/>
              <w:bottom w:w="75" w:type="dxa"/>
              <w:end w:w="85" w:type="dxa"/>
            </w:tcMar>
          </w:tcPr>
          <w:p>
            <w:pPr>
              <w:spacing w:after="0"/>
            </w:pPr>
            <w:r>
              <w:rPr>
                <w:color w:val="1F2529"/>
                <w:sz w:val="17"/>
              </w:rPr>
              <w:t>The named Practice becomes available to the Colony.</w:t>
            </w:r>
          </w:p>
        </w:tc>
        <w:tc>
          <w:tcPr>
            <w:tcW w:type="dxa" w:w="4104"/>
            <w:tcMar>
              <w:top w:w="75" w:type="dxa"/>
              <w:start w:w="85" w:type="dxa"/>
              <w:bottom w:w="75" w:type="dxa"/>
              <w:end w:w="85" w:type="dxa"/>
            </w:tcMar>
          </w:tcPr>
          <w:p>
            <w:pPr>
              <w:spacing w:after="0"/>
            </w:pPr>
            <w:r>
              <w:rPr>
                <w:color w:val="1F2529"/>
                <w:sz w:val="17"/>
              </w:rPr>
              <w:t>No resource is generated; no global upgrade occurs.</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Project</w:t>
            </w:r>
          </w:p>
        </w:tc>
        <w:tc>
          <w:tcPr>
            <w:tcW w:type="dxa" w:w="4680"/>
            <w:tcMar>
              <w:top w:w="75" w:type="dxa"/>
              <w:start w:w="85" w:type="dxa"/>
              <w:bottom w:w="75" w:type="dxa"/>
              <w:end w:w="85" w:type="dxa"/>
            </w:tcMar>
          </w:tcPr>
          <w:p>
            <w:pPr>
              <w:spacing w:after="0"/>
            </w:pPr>
            <w:r>
              <w:rPr>
                <w:color w:val="1F2529"/>
                <w:sz w:val="17"/>
              </w:rPr>
              <w:t>Resources and related Role time are committed to a specific Place.</w:t>
            </w:r>
          </w:p>
        </w:tc>
        <w:tc>
          <w:tcPr>
            <w:tcW w:type="dxa" w:w="4104"/>
            <w:tcMar>
              <w:top w:w="75" w:type="dxa"/>
              <w:start w:w="85" w:type="dxa"/>
              <w:bottom w:w="75" w:type="dxa"/>
              <w:end w:w="85" w:type="dxa"/>
            </w:tcMar>
          </w:tcPr>
          <w:p>
            <w:pPr>
              <w:spacing w:after="0"/>
            </w:pPr>
            <w:r>
              <w:rPr>
                <w:color w:val="1F2529"/>
                <w:sz w:val="17"/>
              </w:rPr>
              <w:t>Other Places of the same family remain unchanged.</w:t>
            </w:r>
          </w:p>
        </w:tc>
      </w:tr>
      <w:tr>
        <w:trPr>
          <w:cantSplit/>
        </w:trPr>
        <w:tc>
          <w:tcPr>
            <w:tcW w:type="dxa" w:w="2232"/>
            <w:shd w:fill="E8EFF5" w:val="clear"/>
            <w:tcMar>
              <w:top w:w="75" w:type="dxa"/>
              <w:start w:w="85" w:type="dxa"/>
              <w:bottom w:w="75" w:type="dxa"/>
              <w:end w:w="85" w:type="dxa"/>
            </w:tcMar>
          </w:tcPr>
          <w:p>
            <w:pPr>
              <w:spacing w:after="0"/>
            </w:pPr>
            <w:r>
              <w:rPr>
                <w:b/>
                <w:color w:val="20364A"/>
                <w:sz w:val="17"/>
              </w:rPr>
              <w:t>Completed Place</w:t>
            </w:r>
          </w:p>
        </w:tc>
        <w:tc>
          <w:tcPr>
            <w:tcW w:type="dxa" w:w="4680"/>
            <w:tcMar>
              <w:top w:w="75" w:type="dxa"/>
              <w:start w:w="85" w:type="dxa"/>
              <w:bottom w:w="75" w:type="dxa"/>
              <w:end w:w="85" w:type="dxa"/>
            </w:tcMar>
          </w:tcPr>
          <w:p>
            <w:pPr>
              <w:spacing w:after="0"/>
            </w:pPr>
            <w:r>
              <w:rPr>
                <w:color w:val="1F2529"/>
                <w:sz w:val="17"/>
              </w:rPr>
              <w:t>That Place now performs the advanced Practice.</w:t>
            </w:r>
          </w:p>
        </w:tc>
        <w:tc>
          <w:tcPr>
            <w:tcW w:type="dxa" w:w="4104"/>
            <w:tcMar>
              <w:top w:w="75" w:type="dxa"/>
              <w:start w:w="85" w:type="dxa"/>
              <w:bottom w:w="75" w:type="dxa"/>
              <w:end w:w="85" w:type="dxa"/>
            </w:tcMar>
          </w:tcPr>
          <w:p>
            <w:pPr>
              <w:spacing w:after="0"/>
            </w:pPr>
            <w:r>
              <w:rPr>
                <w:color w:val="1F2529"/>
                <w:sz w:val="17"/>
              </w:rPr>
              <w:t>No universal reskin or percentage bonus.</w:t>
            </w:r>
          </w:p>
        </w:tc>
      </w:tr>
    </w:tbl>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Tier advancement opens the possibility. MEET makes it known. Project makes it real.</w:t>
            </w:r>
          </w:p>
        </w:tc>
      </w:tr>
    </w:tbl>
    <w:p>
      <w:pPr>
        <w:pStyle w:val="Heading1"/>
      </w:pPr>
      <w:r>
        <w:t>10. BSA-21 - Tier Proofs and Recognition</w:t>
      </w:r>
    </w:p>
    <w:p>
      <w:pPr/>
      <w:r>
        <w:rPr>
          <w:b/>
        </w:rPr>
        <w:t xml:space="preserve">Governing rule. </w:t>
      </w:r>
      <w:r>
        <w:t>The Colony advances after demonstrating a compact set of civic proofs and choosing to recognize what has become true. It does not purchase a Tier through a detached Age-up payment.</w:t>
      </w:r>
    </w:p>
    <w:p>
      <w:pPr>
        <w:pStyle w:val="Heading2"/>
      </w:pPr>
      <w:r>
        <w:t>10.1 The five proofs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1944"/>
            <w:shd w:fill="20364A" w:val="clear"/>
            <w:tcMar>
              <w:top w:w="85" w:type="dxa"/>
              <w:start w:w="85" w:type="dxa"/>
              <w:bottom w:w="85" w:type="dxa"/>
              <w:end w:w="85" w:type="dxa"/>
            </w:tcMar>
          </w:tcPr>
          <w:p>
            <w:pPr>
              <w:spacing w:after="0"/>
            </w:pPr>
            <w:r>
              <w:rPr>
                <w:b/>
                <w:color w:val="FFFFFF"/>
                <w:sz w:val="15"/>
              </w:rPr>
              <w:t>PROOF</w:t>
            </w:r>
          </w:p>
        </w:tc>
        <w:tc>
          <w:tcPr>
            <w:tcW w:type="dxa" w:w="4464"/>
            <w:shd w:fill="20364A" w:val="clear"/>
            <w:tcMar>
              <w:top w:w="85" w:type="dxa"/>
              <w:start w:w="85" w:type="dxa"/>
              <w:bottom w:w="85" w:type="dxa"/>
              <w:end w:w="85" w:type="dxa"/>
            </w:tcMar>
          </w:tcPr>
          <w:p>
            <w:pPr>
              <w:spacing w:after="0"/>
            </w:pPr>
            <w:r>
              <w:rPr>
                <w:b/>
                <w:color w:val="FFFFFF"/>
                <w:sz w:val="15"/>
              </w:rPr>
              <w:t>WHAT THE COLONY DEMONSTRATES</w:t>
            </w:r>
          </w:p>
        </w:tc>
        <w:tc>
          <w:tcPr>
            <w:tcW w:type="dxa" w:w="4608"/>
            <w:shd w:fill="20364A" w:val="clear"/>
            <w:tcMar>
              <w:top w:w="85" w:type="dxa"/>
              <w:start w:w="85" w:type="dxa"/>
              <w:bottom w:w="85" w:type="dxa"/>
              <w:end w:w="85" w:type="dxa"/>
            </w:tcMar>
          </w:tcPr>
          <w:p>
            <w:pPr>
              <w:spacing w:after="0"/>
            </w:pPr>
            <w:r>
              <w:rPr>
                <w:b/>
                <w:color w:val="FFFFFF"/>
                <w:sz w:val="15"/>
              </w:rPr>
              <w:t>TYPICAL EVIDENCE</w:t>
            </w:r>
          </w:p>
        </w:tc>
      </w:tr>
      <w:tr>
        <w:trPr>
          <w:cantSplit/>
        </w:trPr>
        <w:tc>
          <w:tcPr>
            <w:tcW w:type="dxa" w:w="1944"/>
            <w:shd w:fill="E8EFF5" w:val="clear"/>
            <w:tcMar>
              <w:top w:w="75" w:type="dxa"/>
              <w:start w:w="85" w:type="dxa"/>
              <w:bottom w:w="75" w:type="dxa"/>
              <w:end w:w="85" w:type="dxa"/>
            </w:tcMar>
          </w:tcPr>
          <w:p>
            <w:pPr>
              <w:spacing w:after="0"/>
            </w:pPr>
            <w:r>
              <w:rPr>
                <w:b/>
                <w:color w:val="20364A"/>
                <w:sz w:val="16"/>
              </w:rPr>
              <w:t>Population</w:t>
            </w:r>
          </w:p>
        </w:tc>
        <w:tc>
          <w:tcPr>
            <w:tcW w:type="dxa" w:w="4464"/>
            <w:tcMar>
              <w:top w:w="75" w:type="dxa"/>
              <w:start w:w="85" w:type="dxa"/>
              <w:bottom w:w="75" w:type="dxa"/>
              <w:end w:w="85" w:type="dxa"/>
            </w:tcMar>
          </w:tcPr>
          <w:p>
            <w:pPr>
              <w:spacing w:after="0"/>
            </w:pPr>
            <w:r>
              <w:rPr>
                <w:color w:val="1F2529"/>
                <w:sz w:val="16"/>
              </w:rPr>
              <w:t>The living named Roster has entered the next reference band.</w:t>
            </w:r>
          </w:p>
        </w:tc>
        <w:tc>
          <w:tcPr>
            <w:tcW w:type="dxa" w:w="4608"/>
            <w:tcMar>
              <w:top w:w="75" w:type="dxa"/>
              <w:start w:w="85" w:type="dxa"/>
              <w:bottom w:w="75" w:type="dxa"/>
              <w:end w:w="85" w:type="dxa"/>
            </w:tcMar>
          </w:tcPr>
          <w:p>
            <w:pPr>
              <w:spacing w:after="0"/>
            </w:pPr>
            <w:r>
              <w:rPr>
                <w:color w:val="1F2529"/>
                <w:sz w:val="16"/>
              </w:rPr>
              <w:t>Named Citizens at the threshold controlled by the Population and Colony Tiers specification.</w:t>
            </w:r>
          </w:p>
        </w:tc>
      </w:tr>
      <w:tr>
        <w:trPr>
          <w:cantSplit/>
        </w:trPr>
        <w:tc>
          <w:tcPr>
            <w:tcW w:type="dxa" w:w="1944"/>
            <w:shd w:fill="E8EFF5" w:val="clear"/>
            <w:tcMar>
              <w:top w:w="75" w:type="dxa"/>
              <w:start w:w="85" w:type="dxa"/>
              <w:bottom w:w="75" w:type="dxa"/>
              <w:end w:w="85" w:type="dxa"/>
            </w:tcMar>
          </w:tcPr>
          <w:p>
            <w:pPr>
              <w:spacing w:after="0"/>
            </w:pPr>
            <w:r>
              <w:rPr>
                <w:b/>
                <w:color w:val="20364A"/>
                <w:sz w:val="16"/>
              </w:rPr>
              <w:t>Home stability</w:t>
            </w:r>
          </w:p>
        </w:tc>
        <w:tc>
          <w:tcPr>
            <w:tcW w:type="dxa" w:w="4464"/>
            <w:tcMar>
              <w:top w:w="75" w:type="dxa"/>
              <w:start w:w="85" w:type="dxa"/>
              <w:bottom w:w="75" w:type="dxa"/>
              <w:end w:w="85" w:type="dxa"/>
            </w:tcMar>
          </w:tcPr>
          <w:p>
            <w:pPr>
              <w:spacing w:after="0"/>
            </w:pPr>
            <w:r>
              <w:rPr>
                <w:color w:val="1F2529"/>
                <w:sz w:val="16"/>
              </w:rPr>
              <w:t>Ordinary life and Role coverage can remain credible at the claimed scale.</w:t>
            </w:r>
          </w:p>
        </w:tc>
        <w:tc>
          <w:tcPr>
            <w:tcW w:type="dxa" w:w="4608"/>
            <w:tcMar>
              <w:top w:w="75" w:type="dxa"/>
              <w:start w:w="85" w:type="dxa"/>
              <w:bottom w:w="75" w:type="dxa"/>
              <w:end w:w="85" w:type="dxa"/>
            </w:tcMar>
          </w:tcPr>
          <w:p>
            <w:pPr>
              <w:spacing w:after="0"/>
            </w:pPr>
            <w:r>
              <w:rPr>
                <w:color w:val="1F2529"/>
                <w:sz w:val="16"/>
              </w:rPr>
              <w:t>Housing, Sustenance, care, and ordinary responsibilities do not collapse under routine Load.</w:t>
            </w:r>
          </w:p>
        </w:tc>
      </w:tr>
      <w:tr>
        <w:trPr>
          <w:cantSplit/>
        </w:trPr>
        <w:tc>
          <w:tcPr>
            <w:tcW w:type="dxa" w:w="1944"/>
            <w:shd w:fill="E8EFF5" w:val="clear"/>
            <w:tcMar>
              <w:top w:w="75" w:type="dxa"/>
              <w:start w:w="85" w:type="dxa"/>
              <w:bottom w:w="75" w:type="dxa"/>
              <w:end w:w="85" w:type="dxa"/>
            </w:tcMar>
          </w:tcPr>
          <w:p>
            <w:pPr>
              <w:spacing w:after="0"/>
            </w:pPr>
            <w:r>
              <w:rPr>
                <w:b/>
                <w:color w:val="20364A"/>
                <w:sz w:val="16"/>
              </w:rPr>
              <w:t>Environmental proof</w:t>
            </w:r>
          </w:p>
        </w:tc>
        <w:tc>
          <w:tcPr>
            <w:tcW w:type="dxa" w:w="4464"/>
            <w:tcMar>
              <w:top w:w="75" w:type="dxa"/>
              <w:start w:w="85" w:type="dxa"/>
              <w:bottom w:w="75" w:type="dxa"/>
              <w:end w:w="85" w:type="dxa"/>
            </w:tcMar>
          </w:tcPr>
          <w:p>
            <w:pPr>
              <w:spacing w:after="0"/>
            </w:pPr>
            <w:r>
              <w:rPr>
                <w:color w:val="1F2529"/>
                <w:sz w:val="16"/>
              </w:rPr>
              <w:t>The Colony has survived an appropriate seasonal or ecological challenge.</w:t>
            </w:r>
          </w:p>
        </w:tc>
        <w:tc>
          <w:tcPr>
            <w:tcW w:type="dxa" w:w="4608"/>
            <w:tcMar>
              <w:top w:w="75" w:type="dxa"/>
              <w:start w:w="85" w:type="dxa"/>
              <w:bottom w:w="75" w:type="dxa"/>
              <w:end w:w="85" w:type="dxa"/>
            </w:tcMar>
          </w:tcPr>
          <w:p>
            <w:pPr>
              <w:spacing w:after="0"/>
            </w:pPr>
            <w:r>
              <w:rPr>
                <w:color w:val="1F2529"/>
                <w:sz w:val="16"/>
              </w:rPr>
              <w:t>Winter, flood, heat, wind, rain, or another authored environmental pressure.</w:t>
            </w:r>
          </w:p>
        </w:tc>
      </w:tr>
      <w:tr>
        <w:trPr>
          <w:cantSplit/>
        </w:trPr>
        <w:tc>
          <w:tcPr>
            <w:tcW w:type="dxa" w:w="1944"/>
            <w:shd w:fill="E8EFF5" w:val="clear"/>
            <w:tcMar>
              <w:top w:w="75" w:type="dxa"/>
              <w:start w:w="85" w:type="dxa"/>
              <w:bottom w:w="75" w:type="dxa"/>
              <w:end w:w="85" w:type="dxa"/>
            </w:tcMar>
          </w:tcPr>
          <w:p>
            <w:pPr>
              <w:spacing w:after="0"/>
            </w:pPr>
            <w:r>
              <w:rPr>
                <w:b/>
                <w:color w:val="20364A"/>
                <w:sz w:val="16"/>
              </w:rPr>
              <w:t>Civic Project</w:t>
            </w:r>
          </w:p>
        </w:tc>
        <w:tc>
          <w:tcPr>
            <w:tcW w:type="dxa" w:w="4464"/>
            <w:tcMar>
              <w:top w:w="75" w:type="dxa"/>
              <w:start w:w="85" w:type="dxa"/>
              <w:bottom w:w="75" w:type="dxa"/>
              <w:end w:w="85" w:type="dxa"/>
            </w:tcMar>
          </w:tcPr>
          <w:p>
            <w:pPr>
              <w:spacing w:after="0"/>
            </w:pPr>
            <w:r>
              <w:rPr>
                <w:color w:val="1F2529"/>
                <w:sz w:val="16"/>
              </w:rPr>
              <w:t>A defining persistent work has materially changed Home.</w:t>
            </w:r>
          </w:p>
        </w:tc>
        <w:tc>
          <w:tcPr>
            <w:tcW w:type="dxa" w:w="4608"/>
            <w:tcMar>
              <w:top w:w="75" w:type="dxa"/>
              <w:start w:w="85" w:type="dxa"/>
              <w:bottom w:w="75" w:type="dxa"/>
              <w:end w:w="85" w:type="dxa"/>
            </w:tcMar>
          </w:tcPr>
          <w:p>
            <w:pPr>
              <w:spacing w:after="0"/>
            </w:pPr>
            <w:r>
              <w:rPr>
                <w:color w:val="1F2529"/>
                <w:sz w:val="16"/>
              </w:rPr>
              <w:t>Residence, recovery, preservation, Gathering Place, route redundancy, or species-topology work.</w:t>
            </w:r>
          </w:p>
        </w:tc>
      </w:tr>
      <w:tr>
        <w:trPr>
          <w:cantSplit/>
        </w:trPr>
        <w:tc>
          <w:tcPr>
            <w:tcW w:type="dxa" w:w="1944"/>
            <w:shd w:fill="E8EFF5" w:val="clear"/>
            <w:tcMar>
              <w:top w:w="75" w:type="dxa"/>
              <w:start w:w="85" w:type="dxa"/>
              <w:bottom w:w="75" w:type="dxa"/>
              <w:end w:w="85" w:type="dxa"/>
            </w:tcMar>
          </w:tcPr>
          <w:p>
            <w:pPr>
              <w:spacing w:after="0"/>
            </w:pPr>
            <w:r>
              <w:rPr>
                <w:b/>
                <w:color w:val="20364A"/>
                <w:sz w:val="16"/>
              </w:rPr>
              <w:t>Away / corridor</w:t>
            </w:r>
          </w:p>
        </w:tc>
        <w:tc>
          <w:tcPr>
            <w:tcW w:type="dxa" w:w="4464"/>
            <w:tcMar>
              <w:top w:w="75" w:type="dxa"/>
              <w:start w:w="85" w:type="dxa"/>
              <w:bottom w:w="75" w:type="dxa"/>
              <w:end w:w="85" w:type="dxa"/>
            </w:tcMar>
          </w:tcPr>
          <w:p>
            <w:pPr>
              <w:spacing w:after="0"/>
            </w:pPr>
            <w:r>
              <w:rPr>
                <w:color w:val="1F2529"/>
                <w:sz w:val="16"/>
              </w:rPr>
              <w:t>The Colony has achieved the external reach appropriate to the next Tier.</w:t>
            </w:r>
          </w:p>
        </w:tc>
        <w:tc>
          <w:tcPr>
            <w:tcW w:type="dxa" w:w="4608"/>
            <w:tcMar>
              <w:top w:w="75" w:type="dxa"/>
              <w:start w:w="85" w:type="dxa"/>
              <w:bottom w:w="75" w:type="dxa"/>
              <w:end w:w="85" w:type="dxa"/>
            </w:tcMar>
          </w:tcPr>
          <w:p>
            <w:pPr>
              <w:spacing w:after="0"/>
            </w:pPr>
            <w:r>
              <w:rPr>
                <w:color w:val="1F2529"/>
                <w:sz w:val="16"/>
              </w:rPr>
              <w:t>Margin mastery, a walked Reach, outpost, relationship, Special Journey, or corridor connection.</w:t>
            </w:r>
          </w:p>
        </w:tc>
      </w:tr>
    </w:tbl>
    <w:p>
      <w:pPr>
        <w:pStyle w:val="CompactBullet"/>
      </w:pPr>
      <w:r>
        <w:t>• Continuity is expressed through the relationship between Home stability and the Away proof: the Colony can send selected Citizens without automatic domestic collapse.</w:t>
      </w:r>
    </w:p>
    <w:p>
      <w:pPr>
        <w:pStyle w:val="CompactBullet"/>
      </w:pPr>
      <w:r>
        <w:t>• The defining Civic Project may consume substantial Scrap and Citizen time. That is a real resource cost, diegetically embodied in a persistent useful result.</w:t>
      </w:r>
    </w:p>
    <w:p>
      <w:pPr>
        <w:pStyle w:val="CompactBullet"/>
      </w:pPr>
      <w:r>
        <w:t>• The Colony does not complete that Project and then pay a second arbitrary heap of Scrap merely to change the Tier label.</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cost of advancement lives in the things the Colony had to make true - not in a separate Age-up payment.</w:t>
            </w:r>
          </w:p>
        </w:tc>
      </w:tr>
    </w:tbl>
    <w:p>
      <w:pPr>
        <w:pStyle w:val="Heading2"/>
      </w:pPr>
      <w:r>
        <w:t>10.2 Readiness and the recognition MEET</w:t>
      </w:r>
    </w:p>
    <w:p>
      <w:pPr>
        <w:ind w:left="317" w:hanging="317"/>
      </w:pPr>
      <w:r>
        <w:rPr>
          <w:b/>
        </w:rPr>
        <w:t xml:space="preserve">1. Readiness. </w:t>
      </w:r>
      <w:r>
        <w:t>When all five proofs are satisfied, the next DAWN plate reports that the Colony is ready to recognize the next Tier.</w:t>
      </w:r>
    </w:p>
    <w:p>
      <w:pPr>
        <w:ind w:left="317" w:hanging="317"/>
      </w:pPr>
      <w:r>
        <w:rPr>
          <w:b/>
        </w:rPr>
        <w:t xml:space="preserve">2. Call the Gathering. </w:t>
      </w:r>
      <w:r>
        <w:t>A player-facing action opens a Council-centered or Gathering Place Home MEET. Calling it is a Home Commitment and consumes the current Day Band.</w:t>
      </w:r>
    </w:p>
    <w:p>
      <w:pPr>
        <w:ind w:left="317" w:hanging="317"/>
      </w:pPr>
      <w:r>
        <w:rPr>
          <w:b/>
        </w:rPr>
        <w:t xml:space="preserve">3. Campaign-specific testimony. </w:t>
      </w:r>
      <w:r>
        <w:t>The MEET cites actual Colony history: named population, the seasonal pressure survived, the Civic Project completed, and the Expedition or corridor achievement that proved continuity.</w:t>
      </w:r>
    </w:p>
    <w:p>
      <w:pPr>
        <w:ind w:left="317" w:hanging="317"/>
      </w:pPr>
      <w:r>
        <w:rPr>
          <w:b/>
        </w:rPr>
        <w:t xml:space="preserve">4. Player timing. </w:t>
      </w:r>
      <w:r>
        <w:t>The player may recognize what the Colony has become or choose Not yet. Postponement preserves readiness and does not revoke the earned proofs.</w:t>
      </w:r>
    </w:p>
    <w:p>
      <w:pPr>
        <w:ind w:left="317" w:hanging="317"/>
      </w:pPr>
      <w:r>
        <w:rPr>
          <w:b/>
        </w:rPr>
        <w:t xml:space="preserve">5. Recognition. </w:t>
      </w:r>
      <w:r>
        <w:t>Recognition changes the recorded Tier, creates an appropriate Chronicle entry, opens the next authored content band, and makes the next set of advanced possibilities eligible.</w:t>
      </w:r>
    </w:p>
    <w:p>
      <w:pPr>
        <w:pStyle w:val="Heading2"/>
      </w:pPr>
      <w:r>
        <w:t>10.3 What recognition does not do</w:t>
      </w:r>
    </w:p>
    <w:p>
      <w:pPr>
        <w:pStyle w:val="CompactBullet"/>
      </w:pPr>
      <w:r>
        <w:t>• It does not reskin existing buildings or replace their materials.</w:t>
      </w:r>
    </w:p>
    <w:p>
      <w:pPr>
        <w:pStyle w:val="CompactBullet"/>
      </w:pPr>
      <w:r>
        <w:t>• It does not instantly teach every advanced Practice.</w:t>
      </w:r>
    </w:p>
    <w:p>
      <w:pPr>
        <w:pStyle w:val="CompactBullet"/>
      </w:pPr>
      <w:r>
        <w:t>• It does not add free stock, Role Capacity, queue capacity, or Citizen statistics unless another specification separately authorizes a concrete persistent change.</w:t>
      </w:r>
    </w:p>
    <w:p>
      <w:pPr>
        <w:pStyle w:val="CompactBullet"/>
      </w:pPr>
      <w:r>
        <w:t>• It does not require the Rest Stop Metropolis unless the particular campaign proof or later learned Practice explicitly involves that relationship.</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A Tier is recognized because the Colony has changed. The recognition does not change the Colony by itself.</w:t>
            </w:r>
          </w:p>
        </w:tc>
      </w:tr>
    </w:tbl>
    <w:p>
      <w:pPr>
        <w:pStyle w:val="Heading1"/>
      </w:pPr>
      <w:r>
        <w:t>11. BSA-22 - Keepsakes After a Citizen Dies Away</w:t>
      </w:r>
    </w:p>
    <w:p>
      <w:pPr/>
      <w:r>
        <w:rPr>
          <w:b/>
        </w:rPr>
        <w:t xml:space="preserve">Scope. </w:t>
      </w:r>
      <w:r>
        <w:t>This section resolves the Keepsake aftermath procedure deferred by BSA-11. It governs a named Citizen who dies Away and whose Expedition reaches Homecoming.</w:t>
      </w:r>
    </w:p>
    <w:p>
      <w:pPr>
        <w:pStyle w:val="Heading2"/>
      </w:pPr>
      <w:r>
        <w:t>11.1 Latent expedition state</w:t>
      </w:r>
    </w:p>
    <w:p>
      <w:pPr>
        <w:pStyle w:val="CompactBullet"/>
      </w:pPr>
      <w:r>
        <w:t>• At death, the Citizen's Tool and unspent Supply leave play under the existing permanent-loss rule.</w:t>
      </w:r>
    </w:p>
    <w:p>
      <w:pPr>
        <w:pStyle w:val="CompactBullet"/>
      </w:pPr>
      <w:r>
        <w:t>• The Citizen's Keepsake enters latent expedition space until Homecoming.</w:t>
      </w:r>
    </w:p>
    <w:p>
      <w:pPr>
        <w:pStyle w:val="CompactBullet"/>
      </w:pPr>
      <w:r>
        <w:t>• A latent Keepsake is not equipment, Cargo, salvage, or a transferable slot object. It cannot be used, spent, discarded, passed between Citizens, or counted against Carry.</w:t>
      </w:r>
    </w:p>
    <w:p>
      <w:pPr>
        <w:pStyle w:val="CompactBullet"/>
      </w:pPr>
      <w:r>
        <w:t>• The returning party carries the object and its story home through the Expedition fiction whether or not ordinary Carry representation depicts it explicitly.</w:t>
      </w:r>
    </w:p>
    <w:p>
      <w:pPr>
        <w:pStyle w:val="Heading2"/>
      </w:pPr>
      <w:r>
        <w:t>11.2 Resolution inside the existing Homecoming MEET</w:t>
      </w:r>
    </w:p>
    <w:p>
      <w:pPr/>
      <w:r>
        <w:rPr>
          <w:b/>
        </w:rPr>
        <w:t xml:space="preserve">No new subsystem. </w:t>
      </w:r>
      <w:r>
        <w:t>The Keepsake is resolved within the ordinary Homecoming MEET and its existing full-band Commitment. There is no second ceremony, inheritance screen, Colony inventory pool, or optimization step.</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331"/>
        <w:gridCol w:w="3331"/>
        <w:gridCol w:w="3331"/>
      </w:tblGrid>
      <w:tr>
        <w:trPr>
          <w:tblHeader w:val="true"/>
          <w:cantSplit/>
        </w:trPr>
        <w:tc>
          <w:tcPr>
            <w:tcW w:type="dxa" w:w="2951"/>
            <w:shd w:fill="20364A" w:val="clear"/>
            <w:tcMar>
              <w:top w:w="85" w:type="dxa"/>
              <w:start w:w="85" w:type="dxa"/>
              <w:bottom w:w="85" w:type="dxa"/>
              <w:end w:w="85" w:type="dxa"/>
            </w:tcMar>
          </w:tcPr>
          <w:p>
            <w:pPr>
              <w:spacing w:after="0"/>
            </w:pPr>
            <w:r>
              <w:rPr>
                <w:b/>
                <w:color w:val="FFFFFF"/>
                <w:sz w:val="15"/>
              </w:rPr>
              <w:t>HOMECOMING CHOICE</w:t>
            </w:r>
          </w:p>
        </w:tc>
        <w:tc>
          <w:tcPr>
            <w:tcW w:type="dxa" w:w="4031"/>
            <w:shd w:fill="20364A" w:val="clear"/>
            <w:tcMar>
              <w:top w:w="85" w:type="dxa"/>
              <w:start w:w="85" w:type="dxa"/>
              <w:bottom w:w="85" w:type="dxa"/>
              <w:end w:w="85" w:type="dxa"/>
            </w:tcMar>
          </w:tcPr>
          <w:p>
            <w:pPr>
              <w:spacing w:after="0"/>
            </w:pPr>
            <w:r>
              <w:rPr>
                <w:b/>
                <w:color w:val="FFFFFF"/>
                <w:sz w:val="15"/>
              </w:rPr>
              <w:t>PERSISTENT RESULT</w:t>
            </w:r>
          </w:p>
        </w:tc>
        <w:tc>
          <w:tcPr>
            <w:tcW w:type="dxa" w:w="4031"/>
            <w:shd w:fill="20364A" w:val="clear"/>
            <w:tcMar>
              <w:top w:w="85" w:type="dxa"/>
              <w:start w:w="85" w:type="dxa"/>
              <w:bottom w:w="85" w:type="dxa"/>
              <w:end w:w="85" w:type="dxa"/>
            </w:tcMar>
          </w:tcPr>
          <w:p>
            <w:pPr>
              <w:spacing w:after="0"/>
            </w:pPr>
            <w:r>
              <w:rPr>
                <w:b/>
                <w:color w:val="FFFFFF"/>
                <w:sz w:val="15"/>
              </w:rPr>
              <w:t>HISTORY</w:t>
            </w:r>
          </w:p>
        </w:tc>
      </w:tr>
      <w:tr>
        <w:trPr>
          <w:cantSplit/>
        </w:trPr>
        <w:tc>
          <w:tcPr>
            <w:tcW w:type="dxa" w:w="2951"/>
            <w:shd w:fill="E8EFF5" w:val="clear"/>
            <w:tcMar>
              <w:top w:w="75" w:type="dxa"/>
              <w:start w:w="85" w:type="dxa"/>
              <w:bottom w:w="75" w:type="dxa"/>
              <w:end w:w="85" w:type="dxa"/>
            </w:tcMar>
          </w:tcPr>
          <w:p>
            <w:pPr>
              <w:spacing w:after="0"/>
            </w:pPr>
            <w:r>
              <w:rPr>
                <w:b/>
                <w:color w:val="20364A"/>
                <w:sz w:val="16"/>
              </w:rPr>
              <w:t>Give it to a Hearth-mate</w:t>
            </w:r>
          </w:p>
        </w:tc>
        <w:tc>
          <w:tcPr>
            <w:tcW w:type="dxa" w:w="4031"/>
            <w:tcMar>
              <w:top w:w="75" w:type="dxa"/>
              <w:start w:w="85" w:type="dxa"/>
              <w:bottom w:w="75" w:type="dxa"/>
              <w:end w:w="85" w:type="dxa"/>
            </w:tcMar>
          </w:tcPr>
          <w:p>
            <w:pPr>
              <w:spacing w:after="0"/>
            </w:pPr>
            <w:r>
              <w:rPr>
                <w:color w:val="1F2529"/>
                <w:sz w:val="16"/>
              </w:rPr>
              <w:t>The object becomes that Hearth-mate's personal Keepsake and occupies their Keepsake relationship under ordinary rules.</w:t>
            </w:r>
          </w:p>
        </w:tc>
        <w:tc>
          <w:tcPr>
            <w:tcW w:type="dxa" w:w="4031"/>
            <w:tcMar>
              <w:top w:w="75" w:type="dxa"/>
              <w:start w:w="85" w:type="dxa"/>
              <w:bottom w:w="75" w:type="dxa"/>
              <w:end w:w="85" w:type="dxa"/>
            </w:tcMar>
          </w:tcPr>
          <w:p>
            <w:pPr>
              <w:spacing w:after="0"/>
            </w:pPr>
            <w:r>
              <w:rPr>
                <w:color w:val="1F2529"/>
                <w:sz w:val="16"/>
              </w:rPr>
              <w:t>The return and succession are entered into the deceased Citizen's closed Tale, the recipient's Tale, and the Item Tale.</w:t>
            </w:r>
          </w:p>
        </w:tc>
      </w:tr>
      <w:tr>
        <w:trPr>
          <w:cantSplit/>
        </w:trPr>
        <w:tc>
          <w:tcPr>
            <w:tcW w:type="dxa" w:w="2951"/>
            <w:shd w:fill="E8EFF5" w:val="clear"/>
            <w:tcMar>
              <w:top w:w="75" w:type="dxa"/>
              <w:start w:w="85" w:type="dxa"/>
              <w:bottom w:w="75" w:type="dxa"/>
              <w:end w:w="85" w:type="dxa"/>
            </w:tcMar>
          </w:tcPr>
          <w:p>
            <w:pPr>
              <w:spacing w:after="0"/>
            </w:pPr>
            <w:r>
              <w:rPr>
                <w:b/>
                <w:color w:val="20364A"/>
                <w:sz w:val="16"/>
              </w:rPr>
              <w:t>Retire it to civic display</w:t>
            </w:r>
          </w:p>
        </w:tc>
        <w:tc>
          <w:tcPr>
            <w:tcW w:type="dxa" w:w="4031"/>
            <w:tcMar>
              <w:top w:w="75" w:type="dxa"/>
              <w:start w:w="85" w:type="dxa"/>
              <w:bottom w:w="75" w:type="dxa"/>
              <w:end w:w="85" w:type="dxa"/>
            </w:tcMar>
          </w:tcPr>
          <w:p>
            <w:pPr>
              <w:spacing w:after="0"/>
            </w:pPr>
            <w:r>
              <w:rPr>
                <w:color w:val="1F2529"/>
                <w:sz w:val="16"/>
              </w:rPr>
              <w:t>The object becomes a memorial display in the Gathering Place; where species presentation uses a Story Circle, it appears there.</w:t>
            </w:r>
          </w:p>
        </w:tc>
        <w:tc>
          <w:tcPr>
            <w:tcW w:type="dxa" w:w="4031"/>
            <w:tcMar>
              <w:top w:w="75" w:type="dxa"/>
              <w:start w:w="85" w:type="dxa"/>
              <w:bottom w:w="75" w:type="dxa"/>
              <w:end w:w="85" w:type="dxa"/>
            </w:tcMar>
          </w:tcPr>
          <w:p>
            <w:pPr>
              <w:spacing w:after="0"/>
            </w:pPr>
            <w:r>
              <w:rPr>
                <w:color w:val="1F2529"/>
                <w:sz w:val="16"/>
              </w:rPr>
              <w:t>The display records the Citizen, the loss, and the Homecoming that brought the object back.</w:t>
            </w:r>
          </w:p>
        </w:tc>
      </w:tr>
    </w:tbl>
    <w:p>
      <w:pPr>
        <w:pStyle w:val="CompactBullet"/>
      </w:pPr>
      <w:r>
        <w:t>• The Homecoming choice is meaning-making, not inventory recovery. The Keepsake never automatically seeks the mechanically strongest successor.</w:t>
      </w:r>
    </w:p>
    <w:p>
      <w:pPr>
        <w:pStyle w:val="CompactBullet"/>
      </w:pPr>
      <w:r>
        <w:t>• A transfer is offered to an eligible Hearth-mate, not to an unrestricted Colony-wide list of Citizens.</w:t>
      </w:r>
    </w:p>
    <w:p>
      <w:pPr>
        <w:pStyle w:val="CompactBullet"/>
      </w:pPr>
      <w:r>
        <w:t>• Retired display removes the object from personal equipment while preserving it as a visible civic memory.</w:t>
      </w:r>
    </w:p>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party brings the Keepsake home; the Homecoming determines what it becomes.</w:t>
            </w:r>
          </w:p>
        </w:tc>
      </w:tr>
    </w:tbl>
    <w:tbl>
      <w:tblPr>
        <w:tblW w:type="auto" w:w="0"/>
        <w:jc w:val="center"/>
        <w:tblLayout w:type="fixed"/>
        <w:tblLook w:firstColumn="1" w:firstRow="1" w:lastColumn="0" w:lastRow="0" w:noHBand="0" w:noVBand="1" w:val="04A0"/>
        <w:tblBorders>
          <w:top w:val="single" w:sz="0" w:space="0" w:color="DDEBEC"/>
          <w:left w:val="single" w:sz="0" w:space="0" w:color="DDEBEC"/>
          <w:bottom w:val="single" w:sz="0" w:space="0" w:color="DDEBEC"/>
          <w:right w:val="single" w:sz="0" w:space="0" w:color="DDEBEC"/>
          <w:insideH w:val="single" w:sz="0" w:space="0" w:color="DDEBEC"/>
          <w:insideV w:val="single" w:sz="0" w:space="0" w:color="DDEBEC"/>
        </w:tblBorders>
      </w:tblPr>
      <w:tblGrid>
        <w:gridCol w:w="9994"/>
      </w:tblGrid>
      <w:tr>
        <w:tc>
          <w:tcPr>
            <w:tcW w:type="dxa" w:w="11016"/>
            <w:shd w:fill="DDEBEC" w:val="clear"/>
            <w:tcMar>
              <w:top w:w="90" w:type="dxa"/>
              <w:start w:w="160" w:type="dxa"/>
              <w:bottom w:w="90" w:type="dxa"/>
              <w:end w:w="160" w:type="dxa"/>
            </w:tcMar>
          </w:tcPr>
          <w:p>
            <w:pPr>
              <w:pStyle w:val="DoctrineQuote"/>
              <w:spacing w:before="60" w:after="80"/>
            </w:pPr>
            <w:r>
              <w:t>The object remains with the Expedition until the Colony can decide what the loss means.</w:t>
            </w:r>
          </w:p>
        </w:tc>
      </w:tr>
    </w:tbl>
    <w:p>
      <w:pPr>
        <w:pStyle w:val="Heading1"/>
      </w:pPr>
      <w:r>
        <w:t>12. Baseline Boundaries, Supersessions, and Deferred Detail</w:t>
      </w:r>
    </w:p>
    <w:p>
      <w:pPr/>
      <w:r>
        <w:rPr>
          <w:b/>
        </w:rPr>
        <w:t xml:space="preserve">Deliberate absences. </w:t>
      </w:r>
      <w:r>
        <w:t>The following are governed omissions, not unfinished parallel systems:</w:t>
      </w:r>
    </w:p>
    <w:p>
      <w:pPr>
        <w:pStyle w:val="CompactBullet"/>
      </w:pPr>
      <w:r>
        <w:t>• No Node Study procedure, Knowledge resource, research meter, observation ledger, or technology tree.</w:t>
      </w:r>
    </w:p>
    <w:p>
      <w:pPr>
        <w:pStyle w:val="CompactBullet"/>
      </w:pPr>
      <w:r>
        <w:t>• No Place experience level, universal adjacency-bonus puzzle, or instant global Practice upgrade.</w:t>
      </w:r>
    </w:p>
    <w:p>
      <w:pPr>
        <w:pStyle w:val="CompactBullet"/>
      </w:pPr>
      <w:r>
        <w:t>• No campaign relocation that supersedes the original Home Median.</w:t>
      </w:r>
    </w:p>
    <w:p>
      <w:pPr>
        <w:pStyle w:val="CompactBullet"/>
      </w:pPr>
      <w:r>
        <w:t>• No separate seasonal economy, weather currency, circadian subsystem, or universal night penalty.</w:t>
      </w:r>
    </w:p>
    <w:p>
      <w:pPr>
        <w:pStyle w:val="CompactBullet"/>
      </w:pPr>
      <w:r>
        <w:t>• No additional actions, MEET Turns, or thought-speed advantage from Rabbit movement.</w:t>
      </w:r>
    </w:p>
    <w:p>
      <w:pPr>
        <w:pStyle w:val="CompactBullet"/>
      </w:pPr>
      <w:r>
        <w:t>• No slowest-member pace calculation or Guest-specific movement modifier for Expedition parties.</w:t>
      </w:r>
    </w:p>
    <w:p>
      <w:pPr>
        <w:pStyle w:val="CompactBullet"/>
      </w:pPr>
      <w:r>
        <w:t>• No detached Tier-purchase payment after the Colony has already built the defining Civic Project.</w:t>
      </w:r>
    </w:p>
    <w:p>
      <w:pPr>
        <w:pStyle w:val="CompactBullet"/>
      </w:pPr>
      <w:r>
        <w:t>• No Age-up building reskin, universal Citizen stat increase, or free efficiency bonus.</w:t>
      </w:r>
    </w:p>
    <w:p>
      <w:pPr>
        <w:pStyle w:val="CompactBullet"/>
      </w:pPr>
      <w:r>
        <w:t>• No separate death inventory, Keepsake recovery pool, inheritance menu, or post-Homecoming ceremony.</w:t>
      </w:r>
    </w:p>
    <w:p>
      <w:pPr>
        <w:pStyle w:val="Heading2"/>
      </w:pPr>
      <w:r>
        <w:t>12.1 Superseded assumptions</w:t>
      </w:r>
    </w:p>
    <w:p>
      <w:pPr>
        <w:pStyle w:val="CompactBullet"/>
      </w:pPr>
      <w:r>
        <w:t>• BSA-11's deferred detailed Node Study work is closed by BSA-12: formal Study and Knowledge are deprecated.</w:t>
      </w:r>
    </w:p>
    <w:p>
      <w:pPr>
        <w:pStyle w:val="CompactBullet"/>
      </w:pPr>
      <w:r>
        <w:t>• Any earlier proposal that progress grants instant global Place levels or upgrades is superseded by the Place-Practice-Project chain.</w:t>
      </w:r>
    </w:p>
    <w:p>
      <w:pPr>
        <w:pStyle w:val="CompactBullet"/>
      </w:pPr>
      <w:r>
        <w:t>• Any earlier interpretation of season or Time of Day as a separate survival ruleset is superseded by authored conditions inside existing systems.</w:t>
      </w:r>
    </w:p>
    <w:p>
      <w:pPr>
        <w:pStyle w:val="CompactBullet"/>
      </w:pPr>
      <w:r>
        <w:t>• Any earlier treatment of Rabbit speed as additional actions is superseded by 2x TRAVEL progress and Crossing acuity only.</w:t>
      </w:r>
    </w:p>
    <w:p>
      <w:pPr>
        <w:pStyle w:val="CompactBullet"/>
      </w:pPr>
      <w:r>
        <w:t>• BSA-11's deferred Keepsake-aftermath procedure is closed by the latent state and Homecoming disposition defined here.</w:t>
      </w:r>
    </w:p>
    <w:p>
      <w:pPr>
        <w:pStyle w:val="Heading2"/>
      </w:pPr>
      <w:r>
        <w:t>12.2 Deferred implementation and content work</w:t>
      </w:r>
    </w:p>
    <w:p>
      <w:pPr>
        <w:pStyle w:val="CompactBullet"/>
      </w:pPr>
      <w:r>
        <w:t>• Exact authored registries of Node Conditions and Day-Band-specific MEET content.</w:t>
      </w:r>
    </w:p>
    <w:p>
      <w:pPr>
        <w:pStyle w:val="CompactBullet"/>
      </w:pPr>
      <w:r>
        <w:t>• Exact Rabbit Crossing-acuity presentation and tuning inside each manifestation.</w:t>
      </w:r>
    </w:p>
    <w:p>
      <w:pPr>
        <w:pStyle w:val="CompactBullet"/>
      </w:pPr>
      <w:r>
        <w:t>• The content registry of advanced Practices, their Tier eligibility, and the Home or Metropolis MEETs that teach them.</w:t>
      </w:r>
    </w:p>
    <w:p>
      <w:pPr>
        <w:pStyle w:val="CompactBullet"/>
      </w:pPr>
      <w:r>
        <w:t>• Exact resource and Role-time recipes for specific Tier-defining Civic Projects.</w:t>
      </w:r>
    </w:p>
    <w:p>
      <w:pPr>
        <w:pStyle w:val="CompactBullet"/>
      </w:pPr>
      <w:r>
        <w:t>• Detailed daughter-colony implementation beyond the settled rule that corridor extension never supersedes Home.</w:t>
      </w:r>
    </w:p>
    <w:p>
      <w:pPr>
        <w:pStyle w:val="CompactBullet"/>
      </w:pPr>
      <w:r>
        <w:t>• Final memorial-display presentation and the authored language used by each Core civilization.</w:t>
      </w:r>
    </w:p>
    <w:p>
      <w:pPr/>
      <w:r>
        <w:rPr>
          <w:b/>
        </w:rPr>
        <w:t xml:space="preserve">Baseline status. </w:t>
      </w:r>
      <w:r>
        <w:t>BSA-12 through BSA-22 are complete for MEDIAN v0.5. Further edge cases should be resolved only when an authored MEET, manifestation, or implementation requirement creates a real state not already governed here.</w:t>
      </w:r>
    </w:p>
    <w:p>
      <w:pPr>
        <w:pStyle w:val="Heading1"/>
      </w:pPr>
      <w:r>
        <w:t>13. Canonical Design Lines</w:t>
      </w:r>
    </w:p>
    <w:p>
      <w:pPr>
        <w:spacing w:before="80" w:after="120"/>
        <w:ind w:left="360" w:right="173"/>
      </w:pPr>
      <w:r>
        <w:rPr>
          <w:i/>
          <w:color w:val="20364A"/>
        </w:rPr>
        <w:t>“TRAVEL reveals territory. Nodes open MEET.”</w:t>
      </w:r>
    </w:p>
    <w:p>
      <w:pPr>
        <w:spacing w:before="80" w:after="120"/>
        <w:ind w:left="360" w:right="173"/>
      </w:pPr>
      <w:r>
        <w:rPr>
          <w:i/>
          <w:color w:val="20364A"/>
        </w:rPr>
        <w:t>“The Field is discovered through TRAVEL. Its Nodes become meaningful through MEET. What the Colony learns is expressed as a direct change in the world, not as a separate Knowledge system.”</w:t>
      </w:r>
    </w:p>
    <w:p>
      <w:pPr>
        <w:spacing w:before="80" w:after="120"/>
        <w:ind w:left="360" w:right="173"/>
      </w:pPr>
      <w:r>
        <w:rPr>
          <w:i/>
          <w:color w:val="20364A"/>
        </w:rPr>
        <w:t>“A Place does not level up. The Colony lives with it long enough to discover what else it may become.”</w:t>
      </w:r>
    </w:p>
    <w:p>
      <w:pPr>
        <w:spacing w:before="80" w:after="120"/>
        <w:ind w:left="360" w:right="173"/>
      </w:pPr>
      <w:r>
        <w:rPr>
          <w:i/>
          <w:color w:val="20364A"/>
        </w:rPr>
        <w:t>“The player claims a Place, gives it purpose through a Practice, and changes it through a Project. Progress creates possibilities; the Colony must still build them.”</w:t>
      </w:r>
    </w:p>
    <w:p>
      <w:pPr>
        <w:spacing w:before="80" w:after="120"/>
        <w:ind w:left="360" w:right="173"/>
      </w:pPr>
      <w:r>
        <w:rPr>
          <w:i/>
          <w:color w:val="20364A"/>
        </w:rPr>
        <w:t>“MEDIAN expands outward without moving on. The corridor grows around Home; Home is never superseded by the frontier.”</w:t>
      </w:r>
    </w:p>
    <w:p>
      <w:pPr>
        <w:spacing w:before="80" w:after="120"/>
        <w:ind w:left="360" w:right="173"/>
      </w:pPr>
      <w:r>
        <w:rPr>
          <w:i/>
          <w:color w:val="20364A"/>
        </w:rPr>
        <w:t>“The environment changes the circumstances of play, not the grammar of play.”</w:t>
      </w:r>
    </w:p>
    <w:p>
      <w:pPr>
        <w:spacing w:before="80" w:after="120"/>
        <w:ind w:left="360" w:right="173"/>
      </w:pPr>
      <w:r>
        <w:rPr>
          <w:i/>
          <w:color w:val="20364A"/>
        </w:rPr>
        <w:t>“Time of Day belongs to the world. Rush, Window, and Velocity belong to the Highway.”</w:t>
      </w:r>
    </w:p>
    <w:p>
      <w:pPr>
        <w:spacing w:before="80" w:after="120"/>
        <w:ind w:left="360" w:right="173"/>
      </w:pPr>
      <w:r>
        <w:rPr>
          <w:i/>
          <w:color w:val="20364A"/>
        </w:rPr>
        <w:t>“Commitments advance the Day. DAWN advances the calendar.”</w:t>
      </w:r>
    </w:p>
    <w:p>
      <w:pPr>
        <w:spacing w:before="80" w:after="120"/>
        <w:ind w:left="360" w:right="173"/>
      </w:pPr>
      <w:r>
        <w:rPr>
          <w:i/>
          <w:color w:val="20364A"/>
        </w:rPr>
        <w:t>“Away time advances through distance and duration.”</w:t>
      </w:r>
    </w:p>
    <w:p>
      <w:pPr>
        <w:spacing w:before="80" w:after="120"/>
        <w:ind w:left="360" w:right="173"/>
      </w:pPr>
      <w:r>
        <w:rPr>
          <w:i/>
          <w:color w:val="20364A"/>
        </w:rPr>
        <w:t>“Rabbits move faster; they do not experience more time.”</w:t>
      </w:r>
    </w:p>
    <w:p>
      <w:pPr>
        <w:spacing w:before="80" w:after="120"/>
        <w:ind w:left="360" w:right="173"/>
      </w:pPr>
      <w:r>
        <w:rPr>
          <w:i/>
          <w:color w:val="20364A"/>
        </w:rPr>
        <w:t>“The Core Species determines how the party moves through the corridor. Guests change who undertakes the journey, not the journey's clock.”</w:t>
      </w:r>
    </w:p>
    <w:p>
      <w:pPr>
        <w:spacing w:before="80" w:after="120"/>
        <w:ind w:left="360" w:right="173"/>
      </w:pPr>
      <w:r>
        <w:rPr>
          <w:i/>
          <w:color w:val="20364A"/>
        </w:rPr>
        <w:t>“Tier advancement opens the possibility. MEET makes it known. Project makes it real.”</w:t>
      </w:r>
    </w:p>
    <w:p>
      <w:pPr>
        <w:spacing w:before="80" w:after="120"/>
        <w:ind w:left="360" w:right="173"/>
      </w:pPr>
      <w:r>
        <w:rPr>
          <w:i/>
          <w:color w:val="20364A"/>
        </w:rPr>
        <w:t>“The cost of advancement lives in the things the Colony had to make true - not in a separate Age-up payment.”</w:t>
      </w:r>
    </w:p>
    <w:p>
      <w:pPr>
        <w:spacing w:before="80" w:after="120"/>
        <w:ind w:left="360" w:right="173"/>
      </w:pPr>
      <w:r>
        <w:rPr>
          <w:i/>
          <w:color w:val="20364A"/>
        </w:rPr>
        <w:t>“The party brings the Keepsake home; the Homecoming determines what it becomes.”</w:t>
      </w:r>
    </w:p>
    <w:p>
      <w:pPr>
        <w:spacing w:before="80" w:after="120"/>
        <w:ind w:left="360" w:right="173"/>
      </w:pPr>
      <w:r>
        <w:rPr>
          <w:i/>
          <w:color w:val="20364A"/>
        </w:rPr>
        <w:t>“The object remains with the Expedition until the Colony can decide what the loss means.”</w:t>
      </w:r>
    </w:p>
    <w:p>
      <w:pPr>
        <w:pStyle w:val="DocumentMeta"/>
        <w:spacing w:before="240"/>
        <w:jc w:val="center"/>
      </w:pPr>
      <w:r>
        <w:rPr>
          <w:b/>
        </w:rPr>
        <w:t>END OF BASELINE SPECIFICATION</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58C"/>
        <w:sz w:val="16"/>
      </w:rPr>
      <w:t xml:space="preserve">BSA-12-22  |  Baseline Specification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58C"/>
        <w:sz w:val="16"/>
      </w:rPr>
      <w:t>MEDIAN v0.5.0  |  Discovery, Time, Movement &amp; Civic Progression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eastAsia="Aptos"/>
      <w:color w:val="1F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2036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6E73"/>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20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36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2F6E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40"/>
    </w:pPr>
    <w:rPr>
      <w:rFonts w:ascii="Aptos" w:hAnsi="Aptos" w:eastAsia="Aptos"/>
      <w:color w:val="7A858C"/>
      <w:sz w:val="18"/>
    </w:rPr>
  </w:style>
  <w:style w:type="paragraph" w:customStyle="1" w:styleId="DoctrineQuote">
    <w:name w:val="Doctrine Quote"/>
    <w:pPr>
      <w:spacing w:before="100" w:after="140"/>
      <w:ind w:left="317" w:right="216"/>
    </w:pPr>
    <w:rPr>
      <w:rFonts w:ascii="Aptos" w:hAnsi="Aptos" w:eastAsia="Aptos"/>
      <w:i/>
      <w:color w:val="20364A"/>
      <w:sz w:val="21"/>
    </w:rPr>
  </w:style>
  <w:style w:type="paragraph" w:customStyle="1" w:styleId="CompactBullet">
    <w:name w:val="Compact Bullet"/>
    <w:basedOn w:val="Normal"/>
    <w:pPr>
      <w:spacing w:after="40"/>
      <w:ind w:left="331" w:hanging="187"/>
    </w:pPr>
  </w:style>
  <w:style w:type="paragraph" w:customStyle="1" w:styleId="SmallNote">
    <w:name w:val="Small Note"/>
    <w:pPr>
      <w:spacing w:after="60"/>
    </w:pPr>
    <w:rPr>
      <w:rFonts w:ascii="Aptos" w:hAnsi="Aptos" w:eastAsia="Aptos"/>
      <w:color w:val="7A858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Discovery, Time, Movement, and Civic Progression</dc:title>
  <dc:subject>Baseline Specification BSA-12 through BSA-22</dc:subject>
  <dc:creator>MEDIAN Project</dc:creator>
  <cp:keywords>MEDIAN, BSA, discovery, time, movement, tier advancement, keepsakes</cp:keywords>
  <dc:description>Generated from settled BSA-12 through BSA-22 rulings.</dc:description>
  <cp:lastModifiedBy/>
  <cp:revision>1</cp:revision>
  <dcterms:created xsi:type="dcterms:W3CDTF">2013-12-23T23:15:00Z</dcterms:created>
  <dcterms:modified xsi:type="dcterms:W3CDTF">2013-12-23T23:15:00Z</dcterms:modified>
  <cp:category/>
</cp:coreProperties>
</file>