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19"/>
        <w:gridCol w:w="1450"/>
        <w:gridCol w:w="1279"/>
        <w:gridCol w:w="1512"/>
        <w:gridCol w:w="1034"/>
        <w:gridCol w:w="655"/>
        <w:gridCol w:w="1028"/>
        <w:gridCol w:w="1157"/>
        <w:gridCol w:w="1046"/>
        <w:gridCol w:w="1548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3.24e-06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[0.00, 0.00]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-84.55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cdi lag5 scn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[0.34, 0.66]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measles cases rate cat [&gt;= 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[1.15, 1.41]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 admissions rate lag1 scn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[0.96, 1.55]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malaria cases rate cat [1 to 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[1.00, 1.39]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3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malaria cases rate cat [&gt;= 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[0.90, 1.44]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2024-09-20T10:48:07Z</dcterms:modified>
  <cp:category/>
</cp:coreProperties>
</file>