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9"/>
        <w:gridCol w:w="1450"/>
        <w:gridCol w:w="1279"/>
        <w:gridCol w:w="1512"/>
        <w:gridCol w:w="1034"/>
        <w:gridCol w:w="655"/>
        <w:gridCol w:w="1028"/>
        <w:gridCol w:w="1157"/>
        <w:gridCol w:w="1046"/>
        <w:gridCol w:w="154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-56.95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cdi lag5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[0.22, 0.67]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measles cases rate cat [&gt;= 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[1.19, 1.72]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 admissions rate lag1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[1.44, 2.76]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[1 to 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[0.77,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[&gt;= 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[0.67, 1.43]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2024-09-20T10:49:03Z</dcterms:modified>
  <cp:category/>
</cp:coreProperties>
</file>