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2"/>
        <w:gridCol w:w="2441"/>
        <w:gridCol w:w="1377"/>
        <w:gridCol w:w="1205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pop_lab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prop_stay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ret_time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Afripop (2015)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Puntland-Somaliland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Afripop (2015)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South-Central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Afripop (2015)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South-Central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EPI (2018)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Puntland-Somaliland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EPI (2018)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South-Central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EPI (2018)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South-Central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Polio (2018)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Puntland-Somaliland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Polio (2018)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South-Central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Polio (2018)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South-Central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UNPESS (2014)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Puntland-Somaliland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UNPESS (2014)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South-Central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UNPESS (2014)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South-Central 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2023-11-28T02:25:03Z</dcterms:modified>
  <cp:category/>
</cp:coreProperties>
</file>