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19"/>
        <w:gridCol w:w="1450"/>
        <w:gridCol w:w="1279"/>
        <w:gridCol w:w="1512"/>
        <w:gridCol w:w="1034"/>
        <w:gridCol w:w="655"/>
        <w:gridCol w:w="1028"/>
        <w:gridCol w:w="1157"/>
        <w:gridCol w:w="1046"/>
        <w:gridCol w:w="1548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2.96e-06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[0.00, 0.00]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-81.15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cdi lag5 scn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[0.43, 0.77]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measles cases rate cat [&gt;= 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[1.18, 1.46]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malaria cases rate cat [1 to 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[1.02, 1.47]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malaria cases rate cat [&gt;= 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[0.92, 1.49]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 admissions rate lag1 scn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[1.29, 2.19]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2023-12-14T09:47:59Z</dcterms:modified>
  <cp:category/>
</cp:coreProperties>
</file>