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19"/>
        <w:gridCol w:w="1450"/>
        <w:gridCol w:w="1279"/>
        <w:gridCol w:w="1512"/>
        <w:gridCol w:w="1034"/>
        <w:gridCol w:w="655"/>
        <w:gridCol w:w="1028"/>
        <w:gridCol w:w="1157"/>
        <w:gridCol w:w="1046"/>
        <w:gridCol w:w="1548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4.88e-06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[0.00, 0.00]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cdi lag5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[0.32, 0.90]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measles cases rate cat [&gt;= 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[1.20, 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[1 to 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[0.82, 1.55]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malaria cases rate cat [&gt;= 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[0.70,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 admissions rate lag1 scn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[2.14, 4.33]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2023-12-14T10:11:58Z</dcterms:modified>
  <cp:category/>
</cp:coreProperties>
</file>