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1E3A5F" w:val="clear"/>
            <w:tcMar>
              <w:top w:type="dxa" w:w="500"/>
              <w:left w:type="dxa" w:w="500"/>
              <w:bottom w:type="dxa" w:w="500"/>
              <w:right w:type="dxa" w:w="500"/>
            </w:tcMar>
          </w:tcPr>
          <w:p>
            <w:pPr>
              <w:pStyle w:val="Heading1"/>
              <w:spacing w:before="0" w:after="80"/>
            </w:pPr>
            <w:r>
              <w:rPr>
                <w:rFonts w:ascii="Arial" w:cs="Arial" w:eastAsia="Arial" w:hAnsi="Arial"/>
                <w:b/>
                <w:bCs/>
                <w:color w:val="FFFFFF"/>
                <w:sz w:val="52"/>
                <w:szCs w:val="52"/>
              </w:rPr>
              <w:t xml:space="preserve">Finance Tracker</w:t>
            </w:r>
          </w:p>
          <w:p>
            <w:pPr>
              <w:spacing w:before="0" w:after="100"/>
            </w:pPr>
            <w:r>
              <w:rPr>
                <w:rFonts w:ascii="Arial" w:cs="Arial" w:eastAsia="Arial" w:hAnsi="Arial"/>
                <w:color w:val="AACCEE"/>
                <w:sz w:val="26"/>
                <w:szCs w:val="26"/>
              </w:rPr>
              <w:t xml:space="preserve">Project Brief  —  v2.0</w:t>
            </w:r>
          </w:p>
          <w:p>
            <w:pPr>
              <w:spacing w:before="0" w:after="0"/>
            </w:pPr>
            <w:r>
              <w:rPr>
                <w:rFonts w:ascii="Arial" w:cs="Arial" w:eastAsia="Arial" w:hAnsi="Arial"/>
                <w:color w:val="7AAED0"/>
                <w:sz w:val="18"/>
                <w:szCs w:val="18"/>
              </w:rPr>
              <w:t xml:space="preserve">CLI Ingestion  •  FastAPI Backend  •  React Analytics Dashboard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b/>
                <w:bCs/>
                <w:color w:val="1E3A5F"/>
                <w:sz w:val="18"/>
                <w:szCs w:val="18"/>
              </w:rPr>
              <w:t xml:space="preserve">Project Name</w:t>
            </w:r>
          </w:p>
        </w:tc>
        <w:tc>
          <w:tcPr>
            <w:tcW w:type="dxa" w:w="69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Finance Tracker</w:t>
            </w:r>
          </w:p>
        </w:tc>
      </w:tr>
      <w:tr>
        <w:tc>
          <w:tcPr>
            <w:tcW w:type="dxa" w:w="24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b/>
                <w:bCs/>
                <w:color w:val="1E3A5F"/>
                <w:sz w:val="18"/>
                <w:szCs w:val="18"/>
              </w:rPr>
              <w:t xml:space="preserve">Version</w:t>
            </w:r>
          </w:p>
        </w:tc>
        <w:tc>
          <w:tcPr>
            <w:tcW w:type="dxa" w:w="69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2.0</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b/>
                <w:bCs/>
                <w:color w:val="1E3A5F"/>
                <w:sz w:val="18"/>
                <w:szCs w:val="18"/>
              </w:rPr>
              <w:t xml:space="preserve">Date</w:t>
            </w:r>
          </w:p>
        </w:tc>
        <w:tc>
          <w:tcPr>
            <w:tcW w:type="dxa" w:w="69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March 2026</w:t>
            </w:r>
          </w:p>
        </w:tc>
      </w:tr>
      <w:tr>
        <w:tc>
          <w:tcPr>
            <w:tcW w:type="dxa" w:w="24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b/>
                <w:bCs/>
                <w:color w:val="1E3A5F"/>
                <w:sz w:val="18"/>
                <w:szCs w:val="18"/>
              </w:rPr>
              <w:t xml:space="preserve">Author</w:t>
            </w:r>
          </w:p>
        </w:tc>
        <w:tc>
          <w:tcPr>
            <w:tcW w:type="dxa" w:w="69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Afzal</w:t>
            </w:r>
          </w:p>
        </w:tc>
      </w:tr>
      <w:tr>
        <w:tc>
          <w:tcPr>
            <w:tcW w:type="dxa" w:w="24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b/>
                <w:bCs/>
                <w:color w:val="1E3A5F"/>
                <w:sz w:val="18"/>
                <w:szCs w:val="18"/>
              </w:rPr>
              <w:t xml:space="preserve">Status</w:t>
            </w:r>
          </w:p>
        </w:tc>
        <w:tc>
          <w:tcPr>
            <w:tcW w:type="dxa" w:w="69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In Planning</w:t>
            </w:r>
          </w:p>
        </w:tc>
      </w:tr>
      <w:tr>
        <w:tc>
          <w:tcPr>
            <w:tcW w:type="dxa" w:w="24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b/>
                <w:bCs/>
                <w:color w:val="1E3A5F"/>
                <w:sz w:val="18"/>
                <w:szCs w:val="18"/>
              </w:rPr>
              <w:t xml:space="preserve">Previous brief</w:t>
            </w:r>
          </w:p>
        </w:tc>
        <w:tc>
          <w:tcPr>
            <w:tcW w:type="dxa" w:w="69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v1.0 — superseded by this document</w:t>
            </w:r>
          </w:p>
        </w:tc>
      </w:tr>
    </w:tbl>
    <w:p>
      <w:pPr>
        <w:spacing w:before="260" w:after="0"/>
      </w:pPr>
    </w:p>
    <w:p>
      <w:pPr>
        <w:pStyle w:val="Heading2"/>
        <w:spacing w:before="300" w:after="100"/>
      </w:pPr>
      <w:r>
        <w:rPr>
          <w:rFonts w:ascii="Arial" w:cs="Arial" w:eastAsia="Arial" w:hAnsi="Arial"/>
          <w:b/>
          <w:bCs/>
          <w:color w:val="1E3A5F"/>
          <w:sz w:val="26"/>
          <w:szCs w:val="26"/>
        </w:rPr>
        <w:t xml:space="preserve">1.  Purpose &amp; Core Goal</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Finance Tracker is a self-hosted personal finance analysis platform. Its primary purpose is to give a single, clear view of all financial activity across banks, credit cards, UPI apps, and wallets — so that cashflow, spending patterns, and financial health can be understood at a glance.</w:t>
      </w:r>
    </w:p>
    <w:p>
      <w:pPr>
        <w:spacing w:before="60" w:after="0"/>
      </w:pPr>
    </w:p>
    <w:p>
      <w:pPr>
        <w:spacing w:before="60" w:after="60"/>
      </w:pPr>
      <w:r>
        <w:rPr>
          <w:rFonts w:ascii="Arial" w:cs="Arial" w:eastAsia="Arial" w:hAnsi="Arial"/>
          <w:color w:val="1A1A2E"/>
          <w:sz w:val="20"/>
          <w:szCs w:val="20"/>
        </w:rPr>
        <w:t xml:space="preserve">The system is built around two distinct concerns that are intentionally kept separate:</w:t>
      </w:r>
    </w:p>
    <w:p>
      <w:pPr>
        <w:spacing w:before="40" w:after="0"/>
      </w:pPr>
    </w:p>
    <w:p>
      <w:pPr>
        <w:pStyle w:val="ListParagraph"/>
        <w:numPr>
          <w:ilvl w:val="0"/>
          <w:numId w:val="2"/>
        </w:numPr>
        <w:spacing w:before="40" w:after="40"/>
      </w:pPr>
      <w:r>
        <w:rPr>
          <w:rFonts w:ascii="Arial" w:cs="Arial" w:eastAsia="Arial" w:hAnsi="Arial"/>
          <w:b w:val="false"/>
          <w:bCs w:val="false"/>
          <w:color w:val="1A1A2E"/>
          <w:sz w:val="20"/>
          <w:szCs w:val="20"/>
        </w:rPr>
        <w:t xml:space="preserve">Data ingestion — pulling transaction data from Gmail notifications via a CLI tool.</w:t>
      </w:r>
    </w:p>
    <w:p>
      <w:pPr>
        <w:pStyle w:val="ListParagraph"/>
        <w:numPr>
          <w:ilvl w:val="0"/>
          <w:numId w:val="2"/>
        </w:numPr>
        <w:spacing w:before="40" w:after="40"/>
      </w:pPr>
      <w:r>
        <w:rPr>
          <w:rFonts w:ascii="Arial" w:cs="Arial" w:eastAsia="Arial" w:hAnsi="Arial"/>
          <w:b w:val="false"/>
          <w:bCs w:val="false"/>
          <w:color w:val="1A1A2E"/>
          <w:sz w:val="20"/>
          <w:szCs w:val="20"/>
        </w:rPr>
        <w:t xml:space="preserve">Data analysis — surfacing insights through a web-based analytics dashboard.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2E6DA4" w:sz="4"/>
              <w:right w:val="none"/>
            </w:tcBorders>
            <w:shd w:fill="EBF2FA" w:val="clear"/>
            <w:tcMar>
              <w:top w:type="dxa" w:w="100"/>
              <w:left w:type="dxa" w:w="180"/>
              <w:bottom w:type="dxa" w:w="100"/>
              <w:right w:type="dxa" w:w="180"/>
            </w:tcMar>
          </w:tcPr>
          <w:p>
            <w:pPr>
              <w:spacing w:before="30" w:after="30"/>
            </w:pPr>
            <w:r>
              <w:rPr>
                <w:rFonts w:ascii="Arial" w:cs="Arial" w:eastAsia="Arial" w:hAnsi="Arial"/>
                <w:color w:val="1A1A2E"/>
                <w:sz w:val="18"/>
                <w:szCs w:val="18"/>
              </w:rPr>
              <w:t xml:space="preserve">The web application is an analytics and reporting tool, not an ingestion tool.</w:t>
            </w:r>
          </w:p>
          <w:p>
            <w:pPr>
              <w:spacing w:before="30" w:after="30"/>
            </w:pPr>
            <w:r>
              <w:rPr>
                <w:rFonts w:ascii="Arial" w:cs="Arial" w:eastAsia="Arial" w:hAnsi="Arial"/>
                <w:color w:val="1A1A2E"/>
                <w:sz w:val="18"/>
                <w:szCs w:val="18"/>
              </w:rPr>
              <w:t xml:space="preserve">All data entry into the system happens through the CLI. The web app is read-only.</w:t>
            </w:r>
          </w:p>
        </w:tc>
      </w:tr>
    </w:tbl>
    <w:p>
      <w:pPr>
        <w:spacing w:before="200" w:after="0"/>
      </w:pPr>
    </w:p>
    <w:p>
      <w:pPr>
        <w:pStyle w:val="Heading2"/>
        <w:spacing w:before="300" w:after="100"/>
      </w:pPr>
      <w:r>
        <w:rPr>
          <w:rFonts w:ascii="Arial" w:cs="Arial" w:eastAsia="Arial" w:hAnsi="Arial"/>
          <w:b/>
          <w:bCs/>
          <w:color w:val="1E3A5F"/>
          <w:sz w:val="26"/>
          <w:szCs w:val="26"/>
        </w:rPr>
        <w:t xml:space="preserve">2.  Problem Statement</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Financial activity is spread across many channels with no unified view:</w:t>
      </w:r>
    </w:p>
    <w:p>
      <w:pPr>
        <w:spacing w:before="40" w:after="0"/>
      </w:pPr>
    </w:p>
    <w:p>
      <w:pPr>
        <w:pStyle w:val="ListParagraph"/>
        <w:numPr>
          <w:ilvl w:val="0"/>
          <w:numId w:val="2"/>
        </w:numPr>
        <w:spacing w:before="40" w:after="40"/>
      </w:pPr>
      <w:r>
        <w:rPr>
          <w:rFonts w:ascii="Arial" w:cs="Arial" w:eastAsia="Arial" w:hAnsi="Arial"/>
          <w:b w:val="false"/>
          <w:bCs w:val="false"/>
          <w:color w:val="1A1A2E"/>
          <w:sz w:val="20"/>
          <w:szCs w:val="20"/>
        </w:rPr>
        <w:t xml:space="preserve">Multiple bank accounts, credit cards, UPI apps, and wallets each have separate apps and notification emails.</w:t>
      </w:r>
    </w:p>
    <w:p>
      <w:pPr>
        <w:pStyle w:val="ListParagraph"/>
        <w:numPr>
          <w:ilvl w:val="0"/>
          <w:numId w:val="2"/>
        </w:numPr>
        <w:spacing w:before="40" w:after="40"/>
      </w:pPr>
      <w:r>
        <w:rPr>
          <w:rFonts w:ascii="Arial" w:cs="Arial" w:eastAsia="Arial" w:hAnsi="Arial"/>
          <w:b w:val="false"/>
          <w:bCs w:val="false"/>
          <w:color w:val="1A1A2E"/>
          <w:sz w:val="20"/>
          <w:szCs w:val="20"/>
        </w:rPr>
        <w:t xml:space="preserve">There is no single place to see total debits vs credits, monthly cashflow, or net financial position.</w:t>
      </w:r>
    </w:p>
    <w:p>
      <w:pPr>
        <w:pStyle w:val="ListParagraph"/>
        <w:numPr>
          <w:ilvl w:val="0"/>
          <w:numId w:val="2"/>
        </w:numPr>
        <w:spacing w:before="40" w:after="40"/>
      </w:pPr>
      <w:r>
        <w:rPr>
          <w:rFonts w:ascii="Arial" w:cs="Arial" w:eastAsia="Arial" w:hAnsi="Arial"/>
          <w:b w:val="false"/>
          <w:bCs w:val="false"/>
          <w:color w:val="1A1A2E"/>
          <w:sz w:val="20"/>
          <w:szCs w:val="20"/>
        </w:rPr>
        <w:t xml:space="preserve">Spending patterns, category breakdowns, top merchants, and recurring charges are impossible to track without significant manual work.</w:t>
      </w:r>
    </w:p>
    <w:p>
      <w:pPr>
        <w:pStyle w:val="ListParagraph"/>
        <w:numPr>
          <w:ilvl w:val="0"/>
          <w:numId w:val="2"/>
        </w:numPr>
        <w:spacing w:before="40" w:after="40"/>
      </w:pPr>
      <w:r>
        <w:rPr>
          <w:rFonts w:ascii="Arial" w:cs="Arial" w:eastAsia="Arial" w:hAnsi="Arial"/>
          <w:b w:val="false"/>
          <w:bCs w:val="false"/>
          <w:color w:val="1A1A2E"/>
          <w:sz w:val="20"/>
          <w:szCs w:val="20"/>
        </w:rPr>
        <w:t xml:space="preserve">The data already exists in Gmail — every transaction triggers a notification email — but it is fragmented and unstructured.</w:t>
      </w:r>
    </w:p>
    <w:p>
      <w:pPr>
        <w:spacing w:before="200" w:after="0"/>
      </w:pPr>
    </w:p>
    <w:p>
      <w:pPr>
        <w:pStyle w:val="Heading2"/>
        <w:spacing w:before="300" w:after="100"/>
      </w:pPr>
      <w:r>
        <w:rPr>
          <w:rFonts w:ascii="Arial" w:cs="Arial" w:eastAsia="Arial" w:hAnsi="Arial"/>
          <w:b/>
          <w:bCs/>
          <w:color w:val="1E3A5F"/>
          <w:sz w:val="26"/>
          <w:szCs w:val="26"/>
        </w:rPr>
        <w:t xml:space="preserve">3.  Goals</w:t>
      </w:r>
    </w:p>
    <w:p>
      <w:pPr>
        <w:pBdr>
          <w:bottom w:val="single" w:color="BBCFE0" w:sz="4" w:space="1"/>
        </w:pBdr>
        <w:spacing w:before="60" w:after="60"/>
      </w:pPr>
    </w:p>
    <w:p>
      <w:pPr>
        <w:spacing w:before="80" w:after="0"/>
      </w:pPr>
    </w:p>
    <w:p>
      <w:pPr>
        <w:pStyle w:val="Heading3"/>
        <w:spacing w:before="200" w:after="60"/>
      </w:pPr>
      <w:r>
        <w:rPr>
          <w:rFonts w:ascii="Arial" w:cs="Arial" w:eastAsia="Arial" w:hAnsi="Arial"/>
          <w:b/>
          <w:bCs/>
          <w:color w:val="2E6DA4"/>
          <w:sz w:val="22"/>
          <w:szCs w:val="22"/>
        </w:rPr>
        <w:t xml:space="preserve">Primary goal</w:t>
      </w:r>
    </w:p>
    <w:p>
      <w:pPr>
        <w:spacing w:before="60" w:after="60"/>
      </w:pPr>
      <w:r>
        <w:rPr>
          <w:rFonts w:ascii="Arial" w:cs="Arial" w:eastAsia="Arial" w:hAnsi="Arial"/>
          <w:color w:val="1A1A2E"/>
          <w:sz w:val="20"/>
          <w:szCs w:val="20"/>
        </w:rPr>
        <w:t xml:space="preserve">Enable comprehensive personal finance analysis through a web dashboard, fed by a CLI-driven ingestion pipeline.</w:t>
      </w:r>
    </w:p>
    <w:p>
      <w:pPr>
        <w:spacing w:before="60" w:after="0"/>
      </w:pPr>
    </w:p>
    <w:p>
      <w:pPr>
        <w:pStyle w:val="Heading3"/>
        <w:spacing w:before="200" w:after="60"/>
      </w:pPr>
      <w:r>
        <w:rPr>
          <w:rFonts w:ascii="Arial" w:cs="Arial" w:eastAsia="Arial" w:hAnsi="Arial"/>
          <w:b/>
          <w:bCs/>
          <w:color w:val="2E6DA4"/>
          <w:sz w:val="22"/>
          <w:szCs w:val="22"/>
        </w:rPr>
        <w:t xml:space="preserve">Ingestion goals (CLI)</w:t>
      </w:r>
    </w:p>
    <w:p>
      <w:pPr>
        <w:pStyle w:val="ListParagraph"/>
        <w:numPr>
          <w:ilvl w:val="0"/>
          <w:numId w:val="2"/>
        </w:numPr>
        <w:spacing w:before="40" w:after="40"/>
      </w:pPr>
      <w:r>
        <w:rPr>
          <w:rFonts w:ascii="Arial" w:cs="Arial" w:eastAsia="Arial" w:hAnsi="Arial"/>
          <w:b w:val="false"/>
          <w:bCs w:val="false"/>
          <w:color w:val="1A1A2E"/>
          <w:sz w:val="20"/>
          <w:szCs w:val="20"/>
        </w:rPr>
        <w:t xml:space="preserve">Fetch transaction notification emails from Gmail using a CLI tool with configurable options.</w:t>
      </w:r>
    </w:p>
    <w:p>
      <w:pPr>
        <w:pStyle w:val="ListParagraph"/>
        <w:numPr>
          <w:ilvl w:val="0"/>
          <w:numId w:val="2"/>
        </w:numPr>
        <w:spacing w:before="40" w:after="40"/>
      </w:pPr>
      <w:r>
        <w:rPr>
          <w:rFonts w:ascii="Arial" w:cs="Arial" w:eastAsia="Arial" w:hAnsi="Arial"/>
          <w:b w:val="false"/>
          <w:bCs w:val="false"/>
          <w:color w:val="1A1A2E"/>
          <w:sz w:val="20"/>
          <w:szCs w:val="20"/>
        </w:rPr>
        <w:t xml:space="preserve">Support continuous polling mode (--poll) and single-run modes ((none), --once, --force) with a mutually exclusive source flag (--mail, --unparsed, --offline).</w:t>
      </w:r>
    </w:p>
    <w:p>
      <w:pPr>
        <w:pStyle w:val="ListParagraph"/>
        <w:numPr>
          <w:ilvl w:val="0"/>
          <w:numId w:val="2"/>
        </w:numPr>
        <w:spacing w:before="40" w:after="40"/>
      </w:pPr>
      <w:r>
        <w:rPr>
          <w:rFonts w:ascii="Arial" w:cs="Arial" w:eastAsia="Arial" w:hAnsi="Arial"/>
          <w:b w:val="false"/>
          <w:bCs w:val="false"/>
          <w:color w:val="1A1A2E"/>
          <w:sz w:val="20"/>
          <w:szCs w:val="20"/>
        </w:rPr>
        <w:t xml:space="preserve">Classify emails and parse transaction data using a fully database-driven parser and classification system.</w:t>
      </w:r>
    </w:p>
    <w:p>
      <w:pPr>
        <w:pStyle w:val="ListParagraph"/>
        <w:numPr>
          <w:ilvl w:val="0"/>
          <w:numId w:val="2"/>
        </w:numPr>
        <w:spacing w:before="40" w:after="40"/>
      </w:pPr>
      <w:r>
        <w:rPr>
          <w:rFonts w:ascii="Arial" w:cs="Arial" w:eastAsia="Arial" w:hAnsi="Arial"/>
          <w:b w:val="false"/>
          <w:bCs w:val="false"/>
          <w:color w:val="1A1A2E"/>
          <w:sz w:val="20"/>
          <w:szCs w:val="20"/>
        </w:rPr>
        <w:t xml:space="preserve">Store normalised transactions in a local SQLite ledger with deduplication.</w:t>
      </w:r>
    </w:p>
    <w:p>
      <w:pPr>
        <w:pStyle w:val="ListParagraph"/>
        <w:numPr>
          <w:ilvl w:val="0"/>
          <w:numId w:val="2"/>
        </w:numPr>
        <w:spacing w:before="40" w:after="40"/>
      </w:pPr>
      <w:r>
        <w:rPr>
          <w:rFonts w:ascii="Arial" w:cs="Arial" w:eastAsia="Arial" w:hAnsi="Arial"/>
          <w:b w:val="false"/>
          <w:bCs w:val="false"/>
          <w:color w:val="1A1A2E"/>
          <w:sz w:val="20"/>
          <w:szCs w:val="20"/>
        </w:rPr>
        <w:t xml:space="preserve">Maintain an unparsed queue for messages that could not be parsed, with reprocess capabilities.</w:t>
      </w:r>
    </w:p>
    <w:p>
      <w:pPr>
        <w:spacing w:before="80" w:after="0"/>
      </w:pPr>
    </w:p>
    <w:p>
      <w:pPr>
        <w:pStyle w:val="Heading3"/>
        <w:spacing w:before="200" w:after="60"/>
      </w:pPr>
      <w:r>
        <w:rPr>
          <w:rFonts w:ascii="Arial" w:cs="Arial" w:eastAsia="Arial" w:hAnsi="Arial"/>
          <w:b/>
          <w:bCs/>
          <w:color w:val="2E6DA4"/>
          <w:sz w:val="22"/>
          <w:szCs w:val="22"/>
        </w:rPr>
        <w:t xml:space="preserve">Analytics goals (Web Dashboard)</w:t>
      </w:r>
    </w:p>
    <w:p>
      <w:pPr>
        <w:pStyle w:val="ListParagraph"/>
        <w:numPr>
          <w:ilvl w:val="0"/>
          <w:numId w:val="2"/>
        </w:numPr>
        <w:spacing w:before="40" w:after="40"/>
      </w:pPr>
      <w:r>
        <w:rPr>
          <w:rFonts w:ascii="Arial" w:cs="Arial" w:eastAsia="Arial" w:hAnsi="Arial"/>
          <w:b w:val="false"/>
          <w:bCs w:val="false"/>
          <w:color w:val="1A1A2E"/>
          <w:sz w:val="20"/>
          <w:szCs w:val="20"/>
        </w:rPr>
        <w:t xml:space="preserve">Show monthly cashflow: total debits, total credits, and net flow.</w:t>
      </w:r>
    </w:p>
    <w:p>
      <w:pPr>
        <w:pStyle w:val="ListParagraph"/>
        <w:numPr>
          <w:ilvl w:val="0"/>
          <w:numId w:val="2"/>
        </w:numPr>
        <w:spacing w:before="40" w:after="40"/>
      </w:pPr>
      <w:r>
        <w:rPr>
          <w:rFonts w:ascii="Arial" w:cs="Arial" w:eastAsia="Arial" w:hAnsi="Arial"/>
          <w:b w:val="false"/>
          <w:bCs w:val="false"/>
          <w:color w:val="1A1A2E"/>
          <w:sz w:val="20"/>
          <w:szCs w:val="20"/>
        </w:rPr>
        <w:t xml:space="preserve">Break down spending by category, merchant, account, and channel.</w:t>
      </w:r>
    </w:p>
    <w:p>
      <w:pPr>
        <w:pStyle w:val="ListParagraph"/>
        <w:numPr>
          <w:ilvl w:val="0"/>
          <w:numId w:val="2"/>
        </w:numPr>
        <w:spacing w:before="40" w:after="40"/>
      </w:pPr>
      <w:r>
        <w:rPr>
          <w:rFonts w:ascii="Arial" w:cs="Arial" w:eastAsia="Arial" w:hAnsi="Arial"/>
          <w:b w:val="false"/>
          <w:bCs w:val="false"/>
          <w:color w:val="1A1A2E"/>
          <w:sz w:val="20"/>
          <w:szCs w:val="20"/>
        </w:rPr>
        <w:t xml:space="preserve">Display trends over time: how spending in a category changes month-to-month.</w:t>
      </w:r>
    </w:p>
    <w:p>
      <w:pPr>
        <w:pStyle w:val="ListParagraph"/>
        <w:numPr>
          <w:ilvl w:val="0"/>
          <w:numId w:val="2"/>
        </w:numPr>
        <w:spacing w:before="40" w:after="40"/>
      </w:pPr>
      <w:r>
        <w:rPr>
          <w:rFonts w:ascii="Arial" w:cs="Arial" w:eastAsia="Arial" w:hAnsi="Arial"/>
          <w:b w:val="false"/>
          <w:bCs w:val="false"/>
          <w:color w:val="1A1A2E"/>
          <w:sz w:val="20"/>
          <w:szCs w:val="20"/>
        </w:rPr>
        <w:t xml:space="preserve">Identify recurring transactions and surface anomalies.</w:t>
      </w:r>
    </w:p>
    <w:p>
      <w:pPr>
        <w:pStyle w:val="ListParagraph"/>
        <w:numPr>
          <w:ilvl w:val="0"/>
          <w:numId w:val="2"/>
        </w:numPr>
        <w:spacing w:before="40" w:after="40"/>
      </w:pPr>
      <w:r>
        <w:rPr>
          <w:rFonts w:ascii="Arial" w:cs="Arial" w:eastAsia="Arial" w:hAnsi="Arial"/>
          <w:b w:val="false"/>
          <w:bCs w:val="false"/>
          <w:color w:val="1A1A2E"/>
          <w:sz w:val="20"/>
          <w:szCs w:val="20"/>
        </w:rPr>
        <w:t xml:space="preserve">Provide search and filter across all transactions.</w:t>
      </w:r>
    </w:p>
    <w:p>
      <w:pPr>
        <w:pStyle w:val="ListParagraph"/>
        <w:numPr>
          <w:ilvl w:val="0"/>
          <w:numId w:val="2"/>
        </w:numPr>
        <w:spacing w:before="40" w:after="40"/>
      </w:pPr>
      <w:r>
        <w:rPr>
          <w:rFonts w:ascii="Arial" w:cs="Arial" w:eastAsia="Arial" w:hAnsi="Arial"/>
          <w:b w:val="false"/>
          <w:bCs w:val="false"/>
          <w:color w:val="1A1A2E"/>
          <w:sz w:val="20"/>
          <w:szCs w:val="20"/>
        </w:rPr>
        <w:t xml:space="preserve">Give a per-account view showing activity and balance history.</w:t>
      </w:r>
    </w:p>
    <w:p>
      <w:pPr>
        <w:spacing w:before="200" w:after="0"/>
      </w:pPr>
    </w:p>
    <w:p>
      <w:pPr>
        <w:pStyle w:val="Heading2"/>
        <w:spacing w:before="300" w:after="100"/>
      </w:pPr>
      <w:r>
        <w:rPr>
          <w:rFonts w:ascii="Arial" w:cs="Arial" w:eastAsia="Arial" w:hAnsi="Arial"/>
          <w:b/>
          <w:bCs/>
          <w:color w:val="1E3A5F"/>
          <w:sz w:val="26"/>
          <w:szCs w:val="26"/>
        </w:rPr>
        <w:t xml:space="preserve">4.  Non-Goals (v1)</w:t>
      </w:r>
    </w:p>
    <w:p>
      <w:pPr>
        <w:pBdr>
          <w:bottom w:val="single" w:color="BBCFE0" w:sz="4" w:space="1"/>
        </w:pBdr>
        <w:spacing w:before="60" w:after="60"/>
      </w:pPr>
    </w:p>
    <w:p>
      <w:pPr>
        <w:spacing w:before="80" w:after="0"/>
      </w:pPr>
    </w:p>
    <w:p>
      <w:pPr>
        <w:pStyle w:val="ListParagraph"/>
        <w:numPr>
          <w:ilvl w:val="0"/>
          <w:numId w:val="2"/>
        </w:numPr>
        <w:spacing w:before="40" w:after="40"/>
      </w:pPr>
      <w:r>
        <w:rPr>
          <w:rFonts w:ascii="Arial" w:cs="Arial" w:eastAsia="Arial" w:hAnsi="Arial"/>
          <w:b w:val="false"/>
          <w:bCs w:val="false"/>
          <w:color w:val="1A1A2E"/>
          <w:sz w:val="20"/>
          <w:szCs w:val="20"/>
        </w:rPr>
        <w:t xml:space="preserve">Bank statement PDF parsing — planned for a later phase.</w:t>
      </w:r>
    </w:p>
    <w:p>
      <w:pPr>
        <w:pStyle w:val="ListParagraph"/>
        <w:numPr>
          <w:ilvl w:val="0"/>
          <w:numId w:val="2"/>
        </w:numPr>
        <w:spacing w:before="40" w:after="40"/>
      </w:pPr>
      <w:r>
        <w:rPr>
          <w:rFonts w:ascii="Arial" w:cs="Arial" w:eastAsia="Arial" w:hAnsi="Arial"/>
          <w:b w:val="false"/>
          <w:bCs w:val="false"/>
          <w:color w:val="1A1A2E"/>
          <w:sz w:val="20"/>
          <w:szCs w:val="20"/>
        </w:rPr>
        <w:t xml:space="preserve">Direct bank integrations via credentials or screen scraping.</w:t>
      </w:r>
    </w:p>
    <w:p>
      <w:pPr>
        <w:pStyle w:val="ListParagraph"/>
        <w:numPr>
          <w:ilvl w:val="0"/>
          <w:numId w:val="2"/>
        </w:numPr>
        <w:spacing w:before="40" w:after="40"/>
      </w:pPr>
      <w:r>
        <w:rPr>
          <w:rFonts w:ascii="Arial" w:cs="Arial" w:eastAsia="Arial" w:hAnsi="Arial"/>
          <w:b w:val="false"/>
          <w:bCs w:val="false"/>
          <w:color w:val="1A1A2E"/>
          <w:sz w:val="20"/>
          <w:szCs w:val="20"/>
        </w:rPr>
        <w:t xml:space="preserve">Writing, sending, or modifying emails (Gmail access is strictly read-only).</w:t>
      </w:r>
    </w:p>
    <w:p>
      <w:pPr>
        <w:pStyle w:val="ListParagraph"/>
        <w:numPr>
          <w:ilvl w:val="0"/>
          <w:numId w:val="2"/>
        </w:numPr>
        <w:spacing w:before="40" w:after="40"/>
      </w:pPr>
      <w:r>
        <w:rPr>
          <w:rFonts w:ascii="Arial" w:cs="Arial" w:eastAsia="Arial" w:hAnsi="Arial"/>
          <w:b w:val="false"/>
          <w:bCs w:val="false"/>
          <w:color w:val="1A1A2E"/>
          <w:sz w:val="20"/>
          <w:szCs w:val="20"/>
        </w:rPr>
        <w:t xml:space="preserve">Automated tax computation or filing.</w:t>
      </w:r>
    </w:p>
    <w:p>
      <w:pPr>
        <w:pStyle w:val="ListParagraph"/>
        <w:numPr>
          <w:ilvl w:val="0"/>
          <w:numId w:val="2"/>
        </w:numPr>
        <w:spacing w:before="40" w:after="40"/>
      </w:pPr>
      <w:r>
        <w:rPr>
          <w:rFonts w:ascii="Arial" w:cs="Arial" w:eastAsia="Arial" w:hAnsi="Arial"/>
          <w:b w:val="false"/>
          <w:bCs w:val="false"/>
          <w:color w:val="1A1A2E"/>
          <w:sz w:val="20"/>
          <w:szCs w:val="20"/>
        </w:rPr>
        <w:t xml:space="preserve">Multi-user or family sharing support.</w:t>
      </w:r>
    </w:p>
    <w:p>
      <w:pPr>
        <w:pStyle w:val="ListParagraph"/>
        <w:numPr>
          <w:ilvl w:val="0"/>
          <w:numId w:val="2"/>
        </w:numPr>
        <w:spacing w:before="40" w:after="40"/>
      </w:pPr>
      <w:r>
        <w:rPr>
          <w:rFonts w:ascii="Arial" w:cs="Arial" w:eastAsia="Arial" w:hAnsi="Arial"/>
          <w:b w:val="false"/>
          <w:bCs w:val="false"/>
          <w:color w:val="1A1A2E"/>
          <w:sz w:val="20"/>
          <w:szCs w:val="20"/>
        </w:rPr>
        <w:t xml:space="preserve">Budget recommendations or AI-based financial advice.</w:t>
      </w:r>
    </w:p>
    <w:p>
      <w:pPr>
        <w:pStyle w:val="ListParagraph"/>
        <w:numPr>
          <w:ilvl w:val="0"/>
          <w:numId w:val="2"/>
        </w:numPr>
        <w:spacing w:before="40" w:after="40"/>
      </w:pPr>
      <w:r>
        <w:rPr>
          <w:rFonts w:ascii="Arial" w:cs="Arial" w:eastAsia="Arial" w:hAnsi="Arial"/>
          <w:b w:val="false"/>
          <w:bCs w:val="false"/>
          <w:color w:val="1A1A2E"/>
          <w:sz w:val="20"/>
          <w:szCs w:val="20"/>
        </w:rPr>
        <w:t xml:space="preserve">Any ingestion functionality in the web application — the web app is analytics-only.</w:t>
      </w:r>
    </w:p>
    <w:p>
      <w:pPr>
        <w:spacing w:before="200" w:after="0"/>
      </w:pPr>
    </w:p>
    <w:p>
      <w:pPr>
        <w:pStyle w:val="Heading2"/>
        <w:spacing w:before="300" w:after="100"/>
      </w:pPr>
      <w:r>
        <w:rPr>
          <w:rFonts w:ascii="Arial" w:cs="Arial" w:eastAsia="Arial" w:hAnsi="Arial"/>
          <w:b/>
          <w:bCs/>
          <w:color w:val="1E3A5F"/>
          <w:sz w:val="26"/>
          <w:szCs w:val="26"/>
        </w:rPr>
        <w:t xml:space="preserve">5.  Relationship to the Legacy Project</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A working CLI-only version of this system already exists. It handles Gmail OAuth2, email fetching, DB-driven message classification, DB-driven transaction parsing, SQLite storage, deduplication, and an unparsed queue. That project is stable and tested against real data.</w:t>
      </w:r>
    </w:p>
    <w:p>
      <w:pPr>
        <w:spacing w:before="80" w:after="0"/>
      </w:pPr>
    </w:p>
    <w:p>
      <w:pPr>
        <w:spacing w:before="60" w:after="60"/>
      </w:pPr>
      <w:r>
        <w:rPr>
          <w:rFonts w:ascii="Arial" w:cs="Arial" w:eastAsia="Arial" w:hAnsi="Arial"/>
          <w:color w:val="1A1A2E"/>
          <w:sz w:val="20"/>
          <w:szCs w:val="20"/>
        </w:rPr>
        <w:t xml:space="preserve">This project is not a rewrite of the legacy system. The legacy project is a reference and a source of proven patterns. Code, data models, parser logic, and database schema from the legacy project will be referenced and reused where appropriate, but the new codebase is built from scratch with a cleaner architecture that supports the FastAPI backend and React frontend as first-class concerns.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2E6DA4" w:sz="4"/>
              <w:right w:val="none"/>
            </w:tcBorders>
            <w:shd w:fill="EBF2FA" w:val="clear"/>
            <w:tcMar>
              <w:top w:type="dxa" w:w="100"/>
              <w:left w:type="dxa" w:w="180"/>
              <w:bottom w:type="dxa" w:w="100"/>
              <w:right w:type="dxa" w:w="180"/>
            </w:tcMar>
          </w:tcPr>
          <w:p>
            <w:pPr>
              <w:spacing w:before="30" w:after="30"/>
            </w:pPr>
            <w:r>
              <w:rPr>
                <w:rFonts w:ascii="Arial" w:cs="Arial" w:eastAsia="Arial" w:hAnsi="Arial"/>
                <w:color w:val="1A1A2E"/>
                <w:sz w:val="18"/>
                <w:szCs w:val="18"/>
              </w:rPr>
              <w:t xml:space="preserve">Legacy project role:  reference • code inspiration • schema guidance</w:t>
            </w:r>
          </w:p>
          <w:p>
            <w:pPr>
              <w:spacing w:before="30" w:after="30"/>
            </w:pPr>
            <w:r>
              <w:rPr>
                <w:rFonts w:ascii="Arial" w:cs="Arial" w:eastAsia="Arial" w:hAnsi="Arial"/>
                <w:color w:val="1A1A2E"/>
                <w:sz w:val="18"/>
                <w:szCs w:val="18"/>
              </w:rPr>
              <w:t xml:space="preserve">This project:         new codebase built to a higher standard, with API and dashboard layers</w:t>
            </w:r>
          </w:p>
        </w:tc>
      </w:tr>
    </w:tbl>
    <w:p>
      <w:pPr>
        <w:spacing w:before="200" w:after="0"/>
      </w:pPr>
    </w:p>
    <w:p>
      <w:r>
        <w:br w:type="page"/>
      </w:r>
    </w:p>
    <w:p>
      <w:pPr>
        <w:pStyle w:val="Heading2"/>
        <w:spacing w:before="300" w:after="100"/>
      </w:pPr>
      <w:r>
        <w:rPr>
          <w:rFonts w:ascii="Arial" w:cs="Arial" w:eastAsia="Arial" w:hAnsi="Arial"/>
          <w:b/>
          <w:bCs/>
          <w:color w:val="1E3A5F"/>
          <w:sz w:val="26"/>
          <w:szCs w:val="26"/>
        </w:rPr>
        <w:t xml:space="preserve">6.  System Overview</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The system has three distinct layers: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Layer</w:t>
            </w:r>
          </w:p>
        </w:tc>
        <w:tc>
          <w:tcPr>
            <w:tcW w:type="dxa" w:w="26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Component</w:t>
            </w:r>
          </w:p>
        </w:tc>
        <w:tc>
          <w:tcPr>
            <w:tcW w:type="dxa" w:w="51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Responsibility</w:t>
            </w:r>
          </w:p>
        </w:tc>
      </w:tr>
      <w:tr>
        <w:tc>
          <w:tcPr>
            <w:tcW w:type="dxa" w:w="1600"/>
            <w:tcBorders>
              <w:top w:val="single" w:color="BBCFE0" w:sz="1"/>
              <w:left w:val="single" w:color="BBCFE0" w:sz="1"/>
              <w:bottom w:val="single" w:color="BBCFE0" w:sz="1"/>
              <w:right w:val="single" w:color="BBCFE0" w:sz="1"/>
            </w:tcBorders>
            <w:shd w:fill="FFFFFF" w:val="clear"/>
            <w:tcMar>
              <w:top w:type="dxa" w:w="100"/>
              <w:left w:type="dxa" w:w="130"/>
              <w:bottom w:type="dxa" w:w="100"/>
              <w:right w:type="dxa" w:w="130"/>
            </w:tcMar>
            <w:vAlign w:val="top"/>
          </w:tcPr>
          <w:p>
            <w:r>
              <w:rPr>
                <w:rFonts w:ascii="Arial" w:cs="Arial" w:eastAsia="Arial" w:hAnsi="Arial"/>
                <w:b/>
                <w:bCs/>
                <w:color w:val="1E3A5F"/>
                <w:sz w:val="18"/>
                <w:szCs w:val="18"/>
              </w:rPr>
              <w:t xml:space="preserve">1 — Ingestion</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30"/>
              <w:bottom w:type="dxa" w:w="100"/>
              <w:right w:type="dxa" w:w="130"/>
            </w:tcMar>
            <w:vAlign w:val="top"/>
          </w:tcPr>
          <w:p>
            <w:r>
              <w:rPr>
                <w:rFonts w:ascii="Arial" w:cs="Arial" w:eastAsia="Arial" w:hAnsi="Arial"/>
                <w:b w:val="false"/>
                <w:bCs w:val="false"/>
                <w:color w:val="1A1A2E"/>
                <w:sz w:val="18"/>
                <w:szCs w:val="18"/>
              </w:rPr>
              <w:t xml:space="preserve">CLI tool  (cli.py)</w:t>
            </w:r>
          </w:p>
        </w:tc>
        <w:tc>
          <w:tcPr>
            <w:tcW w:type="dxa" w:w="5160"/>
            <w:tcBorders>
              <w:top w:val="single" w:color="BBCFE0" w:sz="1"/>
              <w:left w:val="single" w:color="BBCFE0" w:sz="1"/>
              <w:bottom w:val="single" w:color="BBCFE0" w:sz="1"/>
              <w:right w:val="single" w:color="BBCFE0" w:sz="1"/>
            </w:tcBorders>
            <w:shd w:fill="FFFFFF" w:val="clear"/>
            <w:tcMar>
              <w:top w:type="dxa" w:w="100"/>
              <w:left w:type="dxa" w:w="130"/>
              <w:bottom w:type="dxa" w:w="100"/>
              <w:right w:type="dxa" w:w="130"/>
            </w:tcMar>
            <w:vAlign w:val="top"/>
          </w:tcPr>
          <w:p>
            <w:r>
              <w:rPr>
                <w:rFonts w:ascii="Arial" w:cs="Arial" w:eastAsia="Arial" w:hAnsi="Arial"/>
                <w:b w:val="false"/>
                <w:bCs w:val="false"/>
                <w:color w:val="1A1A2E"/>
                <w:sz w:val="18"/>
                <w:szCs w:val="18"/>
              </w:rPr>
              <w:t xml:space="preserve">Fetches Gmail, classifies emails, parses transactions, writes to SQLite. Runs on demand or as a polling daemon. No web dependency.</w:t>
            </w:r>
          </w:p>
        </w:tc>
      </w:tr>
      <w:tr>
        <w:tc>
          <w:tcPr>
            <w:tcW w:type="dxa" w:w="1600"/>
            <w:tcBorders>
              <w:top w:val="single" w:color="BBCFE0" w:sz="1"/>
              <w:left w:val="single" w:color="BBCFE0" w:sz="1"/>
              <w:bottom w:val="single" w:color="BBCFE0" w:sz="1"/>
              <w:right w:val="single" w:color="BBCFE0" w:sz="1"/>
            </w:tcBorders>
            <w:shd w:fill="EBF2FA" w:val="clear"/>
            <w:tcMar>
              <w:top w:type="dxa" w:w="100"/>
              <w:left w:type="dxa" w:w="130"/>
              <w:bottom w:type="dxa" w:w="100"/>
              <w:right w:type="dxa" w:w="130"/>
            </w:tcMar>
            <w:vAlign w:val="top"/>
          </w:tcPr>
          <w:p>
            <w:r>
              <w:rPr>
                <w:rFonts w:ascii="Arial" w:cs="Arial" w:eastAsia="Arial" w:hAnsi="Arial"/>
                <w:b/>
                <w:bCs/>
                <w:color w:val="1E3A5F"/>
                <w:sz w:val="18"/>
                <w:szCs w:val="18"/>
              </w:rPr>
              <w:t xml:space="preserve">2 — API</w:t>
            </w:r>
          </w:p>
        </w:tc>
        <w:tc>
          <w:tcPr>
            <w:tcW w:type="dxa" w:w="2600"/>
            <w:tcBorders>
              <w:top w:val="single" w:color="BBCFE0" w:sz="1"/>
              <w:left w:val="single" w:color="BBCFE0" w:sz="1"/>
              <w:bottom w:val="single" w:color="BBCFE0" w:sz="1"/>
              <w:right w:val="single" w:color="BBCFE0" w:sz="1"/>
            </w:tcBorders>
            <w:shd w:fill="EBF2FA" w:val="clear"/>
            <w:tcMar>
              <w:top w:type="dxa" w:w="100"/>
              <w:left w:type="dxa" w:w="130"/>
              <w:bottom w:type="dxa" w:w="100"/>
              <w:right w:type="dxa" w:w="130"/>
            </w:tcMar>
            <w:vAlign w:val="top"/>
          </w:tcPr>
          <w:p>
            <w:r>
              <w:rPr>
                <w:rFonts w:ascii="Arial" w:cs="Arial" w:eastAsia="Arial" w:hAnsi="Arial"/>
                <w:b w:val="false"/>
                <w:bCs w:val="false"/>
                <w:color w:val="1A1A2E"/>
                <w:sz w:val="18"/>
                <w:szCs w:val="18"/>
              </w:rPr>
              <w:t xml:space="preserve">FastAPI backend</w:t>
            </w:r>
          </w:p>
        </w:tc>
        <w:tc>
          <w:tcPr>
            <w:tcW w:type="dxa" w:w="5160"/>
            <w:tcBorders>
              <w:top w:val="single" w:color="BBCFE0" w:sz="1"/>
              <w:left w:val="single" w:color="BBCFE0" w:sz="1"/>
              <w:bottom w:val="single" w:color="BBCFE0" w:sz="1"/>
              <w:right w:val="single" w:color="BBCFE0" w:sz="1"/>
            </w:tcBorders>
            <w:shd w:fill="EBF2FA" w:val="clear"/>
            <w:tcMar>
              <w:top w:type="dxa" w:w="100"/>
              <w:left w:type="dxa" w:w="130"/>
              <w:bottom w:type="dxa" w:w="100"/>
              <w:right w:type="dxa" w:w="130"/>
            </w:tcMar>
            <w:vAlign w:val="top"/>
          </w:tcPr>
          <w:p>
            <w:r>
              <w:rPr>
                <w:rFonts w:ascii="Arial" w:cs="Arial" w:eastAsia="Arial" w:hAnsi="Arial"/>
                <w:b w:val="false"/>
                <w:bCs w:val="false"/>
                <w:color w:val="1A1A2E"/>
                <w:sz w:val="18"/>
                <w:szCs w:val="18"/>
              </w:rPr>
              <w:t xml:space="preserve">Reads from SQLite and serves all transaction, account, and analytics data as JSON. Stateless; never writes data directly.</w:t>
            </w:r>
          </w:p>
        </w:tc>
      </w:tr>
      <w:tr>
        <w:tc>
          <w:tcPr>
            <w:tcW w:type="dxa" w:w="1600"/>
            <w:tcBorders>
              <w:top w:val="single" w:color="BBCFE0" w:sz="1"/>
              <w:left w:val="single" w:color="BBCFE0" w:sz="1"/>
              <w:bottom w:val="single" w:color="BBCFE0" w:sz="1"/>
              <w:right w:val="single" w:color="BBCFE0" w:sz="1"/>
            </w:tcBorders>
            <w:shd w:fill="FFFFFF" w:val="clear"/>
            <w:tcMar>
              <w:top w:type="dxa" w:w="100"/>
              <w:left w:type="dxa" w:w="130"/>
              <w:bottom w:type="dxa" w:w="100"/>
              <w:right w:type="dxa" w:w="130"/>
            </w:tcMar>
            <w:vAlign w:val="top"/>
          </w:tcPr>
          <w:p>
            <w:r>
              <w:rPr>
                <w:rFonts w:ascii="Arial" w:cs="Arial" w:eastAsia="Arial" w:hAnsi="Arial"/>
                <w:b/>
                <w:bCs/>
                <w:color w:val="1E3A5F"/>
                <w:sz w:val="18"/>
                <w:szCs w:val="18"/>
              </w:rPr>
              <w:t xml:space="preserve">3 — Dashboard</w:t>
            </w:r>
          </w:p>
        </w:tc>
        <w:tc>
          <w:tcPr>
            <w:tcW w:type="dxa" w:w="2600"/>
            <w:tcBorders>
              <w:top w:val="single" w:color="BBCFE0" w:sz="1"/>
              <w:left w:val="single" w:color="BBCFE0" w:sz="1"/>
              <w:bottom w:val="single" w:color="BBCFE0" w:sz="1"/>
              <w:right w:val="single" w:color="BBCFE0" w:sz="1"/>
            </w:tcBorders>
            <w:shd w:fill="FFFFFF" w:val="clear"/>
            <w:tcMar>
              <w:top w:type="dxa" w:w="100"/>
              <w:left w:type="dxa" w:w="130"/>
              <w:bottom w:type="dxa" w:w="100"/>
              <w:right w:type="dxa" w:w="130"/>
            </w:tcMar>
            <w:vAlign w:val="top"/>
          </w:tcPr>
          <w:p>
            <w:r>
              <w:rPr>
                <w:rFonts w:ascii="Arial" w:cs="Arial" w:eastAsia="Arial" w:hAnsi="Arial"/>
                <w:b w:val="false"/>
                <w:bCs w:val="false"/>
                <w:color w:val="1A1A2E"/>
                <w:sz w:val="18"/>
                <w:szCs w:val="18"/>
              </w:rPr>
              <w:t xml:space="preserve">React frontend</w:t>
            </w:r>
          </w:p>
        </w:tc>
        <w:tc>
          <w:tcPr>
            <w:tcW w:type="dxa" w:w="5160"/>
            <w:tcBorders>
              <w:top w:val="single" w:color="BBCFE0" w:sz="1"/>
              <w:left w:val="single" w:color="BBCFE0" w:sz="1"/>
              <w:bottom w:val="single" w:color="BBCFE0" w:sz="1"/>
              <w:right w:val="single" w:color="BBCFE0" w:sz="1"/>
            </w:tcBorders>
            <w:shd w:fill="FFFFFF" w:val="clear"/>
            <w:tcMar>
              <w:top w:type="dxa" w:w="100"/>
              <w:left w:type="dxa" w:w="130"/>
              <w:bottom w:type="dxa" w:w="100"/>
              <w:right w:type="dxa" w:w="130"/>
            </w:tcMar>
            <w:vAlign w:val="top"/>
          </w:tcPr>
          <w:p>
            <w:r>
              <w:rPr>
                <w:rFonts w:ascii="Arial" w:cs="Arial" w:eastAsia="Arial" w:hAnsi="Arial"/>
                <w:b w:val="false"/>
                <w:bCs w:val="false"/>
                <w:color w:val="1A1A2E"/>
                <w:sz w:val="18"/>
                <w:szCs w:val="18"/>
              </w:rPr>
              <w:t xml:space="preserve">Analytics web app. Consumes the API. Displays charts, tables, filters, and financial summaries. Read-only.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2E6DA4" w:sz="4"/>
              <w:right w:val="none"/>
            </w:tcBorders>
            <w:shd w:fill="EBF2FA" w:val="clear"/>
            <w:tcMar>
              <w:top w:type="dxa" w:w="100"/>
              <w:left w:type="dxa" w:w="180"/>
              <w:bottom w:type="dxa" w:w="100"/>
              <w:right w:type="dxa" w:w="180"/>
            </w:tcMar>
          </w:tcPr>
          <w:p>
            <w:pPr>
              <w:spacing w:before="30" w:after="30"/>
            </w:pPr>
            <w:r>
              <w:rPr>
                <w:rFonts w:ascii="Arial" w:cs="Arial" w:eastAsia="Arial" w:hAnsi="Arial"/>
                <w:color w:val="1A1A2E"/>
                <w:sz w:val="18"/>
                <w:szCs w:val="18"/>
              </w:rPr>
              <w:t xml:space="preserve">Data flow:  Gmail  →  CLI (ingest)  →  SQLite  →  FastAPI  →  React Dashboard</w:t>
            </w:r>
          </w:p>
          <w:p>
            <w:pPr>
              <w:spacing w:before="30" w:after="30"/>
            </w:pPr>
            <w:r>
              <w:rPr>
                <w:rFonts w:ascii="Arial" w:cs="Arial" w:eastAsia="Arial" w:hAnsi="Arial"/>
                <w:color w:val="1A1A2E"/>
                <w:sz w:val="18"/>
                <w:szCs w:val="18"/>
              </w:rPr>
              <w:t xml:space="preserve">The CLI is the only writer. The API and dashboard are readers only.</w:t>
            </w:r>
          </w:p>
        </w:tc>
      </w:tr>
    </w:tbl>
    <w:p>
      <w:pPr>
        <w:spacing w:before="200" w:after="0"/>
      </w:pPr>
    </w:p>
    <w:p>
      <w:pPr>
        <w:pStyle w:val="Heading2"/>
        <w:spacing w:before="300" w:after="100"/>
      </w:pPr>
      <w:r>
        <w:rPr>
          <w:rFonts w:ascii="Arial" w:cs="Arial" w:eastAsia="Arial" w:hAnsi="Arial"/>
          <w:b/>
          <w:bCs/>
          <w:color w:val="1E3A5F"/>
          <w:sz w:val="26"/>
          <w:szCs w:val="26"/>
        </w:rPr>
        <w:t xml:space="preserve">7.  CLI Ingestion Tool</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The CLI is the sole entry point for writing data into the system. It is a standalone Python tool that can be run manually, scheduled via cron, or kept running as a polling daemon. It has no dependency on the web application.</w:t>
      </w:r>
    </w:p>
    <w:p>
      <w:pPr>
        <w:spacing w:before="80" w:after="0"/>
      </w:pPr>
    </w:p>
    <w:p>
      <w:pPr>
        <w:pStyle w:val="Heading3"/>
        <w:spacing w:before="200" w:after="60"/>
      </w:pPr>
      <w:r>
        <w:rPr>
          <w:rFonts w:ascii="Arial" w:cs="Arial" w:eastAsia="Arial" w:hAnsi="Arial"/>
          <w:b/>
          <w:bCs/>
          <w:color w:val="2E6DA4"/>
          <w:sz w:val="22"/>
          <w:szCs w:val="22"/>
        </w:rPr>
        <w:t xml:space="preserve">Core commands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Command</w:t>
            </w:r>
          </w:p>
        </w:tc>
        <w:tc>
          <w:tcPr>
            <w:tcW w:type="dxa" w:w="71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Description</w:t>
            </w:r>
          </w:p>
        </w:tc>
      </w:tr>
      <w:tr>
        <w:tc>
          <w:tcPr>
            <w:tcW w:type="dxa" w:w="2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E3A5F"/>
                <w:sz w:val="18"/>
                <w:szCs w:val="18"/>
              </w:rPr>
              <w:t xml:space="preserve">ingest</w:t>
            </w:r>
          </w:p>
        </w:tc>
        <w:tc>
          <w:tcPr>
            <w:tcW w:type="dxa" w:w="7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18"/>
                <w:szCs w:val="18"/>
              </w:rPr>
              <w:t xml:space="preserve">Fetch new emails from Gmail, classify, parse, and write transactions to the ledger. Uses a stored cursor so each run only fetches messages newer than the last run.</w:t>
            </w:r>
          </w:p>
        </w:tc>
      </w:tr>
      <w:tr>
        <w:tc>
          <w:tcPr>
            <w:tcW w:type="dxa" w:w="22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eastAsia="Arial" w:hAnsi="Arial"/>
                <w:b/>
                <w:bCs/>
                <w:color w:val="1E3A5F"/>
                <w:sz w:val="18"/>
                <w:szCs w:val="18"/>
              </w:rPr>
              <w:t xml:space="preserve">poll</w:t>
            </w:r>
          </w:p>
        </w:tc>
        <w:tc>
          <w:tcPr>
            <w:tcW w:type="dxa" w:w="71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eastAsia="Arial" w:hAnsi="Arial"/>
                <w:b w:val="false"/>
                <w:bCs w:val="false"/>
                <w:color w:val="1A1A2E"/>
                <w:sz w:val="18"/>
                <w:szCs w:val="18"/>
              </w:rPr>
              <w:t xml:space="preserve">Run ingest continuously on a configurable interval (POLL_SECONDS). The main daemon mode for keeping the ledger up to date.</w:t>
            </w:r>
          </w:p>
        </w:tc>
      </w:tr>
      <w:tr>
        <w:tc>
          <w:tcPr>
            <w:tcW w:type="dxa" w:w="2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E3A5F"/>
                <w:sz w:val="18"/>
                <w:szCs w:val="18"/>
              </w:rPr>
              <w:t xml:space="preserve">export</w:t>
            </w:r>
          </w:p>
        </w:tc>
        <w:tc>
          <w:tcPr>
            <w:tcW w:type="dxa" w:w="7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18"/>
                <w:szCs w:val="18"/>
              </w:rPr>
              <w:t xml:space="preserve">Export transactions for a date range to a CSV file.</w:t>
            </w:r>
          </w:p>
        </w:tc>
      </w:tr>
      <w:tr>
        <w:tc>
          <w:tcPr>
            <w:tcW w:type="dxa" w:w="22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eastAsia="Arial" w:hAnsi="Arial"/>
                <w:b/>
                <w:bCs/>
                <w:color w:val="1E3A5F"/>
                <w:sz w:val="18"/>
                <w:szCs w:val="18"/>
              </w:rPr>
              <w:t xml:space="preserve">stats</w:t>
            </w:r>
          </w:p>
        </w:tc>
        <w:tc>
          <w:tcPr>
            <w:tcW w:type="dxa" w:w="71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eastAsia="Arial" w:hAnsi="Arial"/>
                <w:b w:val="false"/>
                <w:bCs w:val="false"/>
                <w:color w:val="1A1A2E"/>
                <w:sz w:val="18"/>
                <w:szCs w:val="18"/>
              </w:rPr>
              <w:t xml:space="preserve">Print monthly debit / credit / net summary to the terminal.</w:t>
            </w:r>
          </w:p>
        </w:tc>
      </w:tr>
      <w:tr>
        <w:tc>
          <w:tcPr>
            <w:tcW w:type="dxa" w:w="2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bCs/>
                <w:color w:val="1E3A5F"/>
                <w:sz w:val="18"/>
                <w:szCs w:val="18"/>
              </w:rPr>
              <w:t xml:space="preserve">unparsed</w:t>
            </w:r>
          </w:p>
        </w:tc>
        <w:tc>
          <w:tcPr>
            <w:tcW w:type="dxa" w:w="71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eastAsia="Arial" w:hAnsi="Arial"/>
                <w:b w:val="false"/>
                <w:bCs w:val="false"/>
                <w:color w:val="1A1A2E"/>
                <w:sz w:val="18"/>
                <w:szCs w:val="18"/>
              </w:rPr>
              <w:t xml:space="preserve">List or inspect messages that failed to parse, for debugging and parser development.</w:t>
            </w:r>
          </w:p>
        </w:tc>
      </w:tr>
    </w:tbl>
    <w:p>
      <w:pPr>
        <w:spacing w:before="120" w:after="0"/>
      </w:pPr>
    </w:p>
    <w:p>
      <w:pPr>
        <w:pStyle w:val="Heading3"/>
        <w:spacing w:before="200" w:after="60"/>
      </w:pPr>
      <w:r>
        <w:rPr>
          <w:rFonts w:ascii="Arial" w:cs="Arial" w:eastAsia="Arial" w:hAnsi="Arial"/>
          <w:b/>
          <w:bCs/>
          <w:color w:val="2E6DA4"/>
          <w:sz w:val="22"/>
          <w:szCs w:val="22"/>
        </w:rPr>
        <w:t xml:space="preserve">ingest arguments</w:t>
      </w:r>
    </w:p>
    <w:p>
      <w:pPr>
        <w:spacing w:before="40" w:after="0"/>
      </w:pPr>
    </w:p>
    <w:tbl>
      <w:tblPr>
        <w:tblW w:type="dxa" w:w="9360"/>
      </w:tblPr>
      <w:tblGrid>
        <w:gridCol w:w="2800"/>
        <w:gridCol w:w="6560"/>
      </w:tblGrid>
      <w:tr>
        <w:tc>
          <w:tcPr>
            <w:tcW w:type="dxa" w:w="28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hAnsi="Arial"/>
                <w:b/>
                <w:color w:val="FFFFFF"/>
                <w:sz w:val="18"/>
                <w:szCs w:val="18"/>
              </w:rPr>
              <w:t>Run mode</w:t>
            </w:r>
          </w:p>
        </w:tc>
        <w:tc>
          <w:tcPr>
            <w:tcW w:type="dxa" w:w="65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hAnsi="Arial"/>
                <w:b/>
                <w:color w:val="FFFFFF"/>
                <w:sz w:val="18"/>
                <w:szCs w:val="18"/>
              </w:rPr>
              <w:t>Behaviour</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b/>
                <w:color w:val="1E3A5F"/>
                <w:sz w:val="18"/>
                <w:szCs w:val="18"/>
              </w:rPr>
              <w:t>(none)</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color w:val="1A1A2E"/>
                <w:sz w:val="18"/>
                <w:szCs w:val="18"/>
              </w:rPr>
              <w:t>One run from stored cursor (or last 30 days on first run). Cursor is updated after completion. Accepts a source flag.</w:t>
            </w:r>
          </w:p>
        </w:tc>
      </w:tr>
      <w:tr>
        <w:tc>
          <w:tcPr>
            <w:tcW w:type="dxa" w:w="28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hAnsi="Arial"/>
                <w:b/>
                <w:color w:val="1E3A5F"/>
                <w:sz w:val="18"/>
                <w:szCs w:val="18"/>
              </w:rPr>
              <w:t>--once [N]</w:t>
            </w:r>
          </w:p>
        </w:tc>
        <w:tc>
          <w:tcPr>
            <w:tcW w:type="dxa" w:w="65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hAnsi="Arial"/>
                <w:color w:val="1A1A2E"/>
                <w:sz w:val="18"/>
                <w:szCs w:val="18"/>
              </w:rPr>
              <w:t>Fetch only the N most recent messages (default 1). Cursor is NOT updated. Accepts a source flag.</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b/>
                <w:color w:val="1E3A5F"/>
                <w:sz w:val="18"/>
                <w:szCs w:val="18"/>
              </w:rPr>
              <w:t>--poll</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color w:val="1A1A2E"/>
                <w:sz w:val="18"/>
                <w:szCs w:val="18"/>
              </w:rPr>
              <w:t>Run continuously, polling Gmail every POLL_SECONDS seconds. Always fetches from Gmail (source flag not applicable).</w:t>
            </w:r>
          </w:p>
        </w:tc>
      </w:tr>
      <w:tr>
        <w:tc>
          <w:tcPr>
            <w:tcW w:type="dxa" w:w="28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hAnsi="Arial"/>
                <w:b/>
                <w:color w:val="1E3A5F"/>
                <w:sz w:val="18"/>
                <w:szCs w:val="18"/>
              </w:rPr>
              <w:t>--force</w:t>
            </w:r>
          </w:p>
        </w:tc>
        <w:tc>
          <w:tcPr>
            <w:tcW w:type="dxa" w:w="65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hAnsi="Arial"/>
                <w:color w:val="1A1A2E"/>
                <w:sz w:val="18"/>
                <w:szCs w:val="18"/>
              </w:rPr>
              <w:t>Force-fetch last 30 days, ignoring the stored cursor. Accepts a source flag.</w:t>
            </w:r>
          </w:p>
        </w:tc>
      </w:tr>
    </w:tbl>
    <w:p>
      <w:pPr>
        <w:spacing w:before="160" w:after="0"/>
      </w:pPr>
    </w:p>
    <w:p>
      <w:pPr>
        <w:pStyle w:val="Heading3"/>
        <w:spacing w:before="200" w:after="60"/>
      </w:pPr>
      <w:r>
        <w:rPr>
          <w:rFonts w:ascii="Arial" w:cs="Arial" w:hAnsi="Arial"/>
          <w:b/>
          <w:color w:val="2E6DA4"/>
          <w:sz w:val="22"/>
          <w:szCs w:val="22"/>
        </w:rPr>
        <w:t>Source flag (mutually exclusive, not applicable to --poll)</w:t>
      </w:r>
    </w:p>
    <w:p>
      <w:pPr>
        <w:spacing w:before="40" w:after="0"/>
      </w:pPr>
    </w:p>
    <w:tbl>
      <w:tblPr>
        <w:tblW w:type="dxa" w:w="9360"/>
      </w:tblPr>
      <w:tblGrid>
        <w:gridCol w:w="2800"/>
        <w:gridCol w:w="6560"/>
      </w:tblGrid>
      <w:tr>
        <w:tc>
          <w:tcPr>
            <w:tcW w:type="dxa" w:w="28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hAnsi="Arial"/>
                <w:b/>
                <w:color w:val="FFFFFF"/>
                <w:sz w:val="18"/>
                <w:szCs w:val="18"/>
              </w:rPr>
              <w:t>Source flag</w:t>
            </w:r>
          </w:p>
        </w:tc>
        <w:tc>
          <w:tcPr>
            <w:tcW w:type="dxa" w:w="65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hAnsi="Arial"/>
                <w:b/>
                <w:color w:val="FFFFFF"/>
                <w:sz w:val="18"/>
                <w:szCs w:val="18"/>
              </w:rPr>
              <w:t>Behaviour</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b/>
                <w:color w:val="1E3A5F"/>
                <w:sz w:val="18"/>
                <w:szCs w:val="18"/>
              </w:rPr>
              <w:t>--mail  (default)</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color w:val="1A1A2E"/>
                <w:sz w:val="18"/>
                <w:szCs w:val="18"/>
              </w:rPr>
              <w:t>Fetch emails from Gmail. This is the default behaviour when no source flag is given.</w:t>
            </w:r>
          </w:p>
        </w:tc>
      </w:tr>
      <w:tr>
        <w:tc>
          <w:tcPr>
            <w:tcW w:type="dxa" w:w="28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hAnsi="Arial"/>
                <w:b/>
                <w:color w:val="1E3A5F"/>
                <w:sz w:val="18"/>
                <w:szCs w:val="18"/>
              </w:rPr>
              <w:t>--unparsed</w:t>
            </w:r>
          </w:p>
        </w:tc>
        <w:tc>
          <w:tcPr>
            <w:tcW w:type="dxa" w:w="65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tcPr>
          <w:p>
            <w:r>
              <w:rPr>
                <w:rFonts w:ascii="Arial" w:cs="Arial" w:hAnsi="Arial"/>
                <w:color w:val="1A1A2E"/>
                <w:sz w:val="18"/>
                <w:szCs w:val="18"/>
              </w:rPr>
              <w:t>Re-process messages from the unparsed queue using already-stored email bodies. No Gmail fetch.</w:t>
            </w:r>
          </w:p>
        </w:tc>
      </w:tr>
      <w:tr>
        <w:tc>
          <w:tcPr>
            <w:tcW w:type="dxa" w:w="28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b/>
                <w:color w:val="1E3A5F"/>
                <w:sz w:val="18"/>
                <w:szCs w:val="18"/>
              </w:rPr>
              <w:t>--offline</w:t>
            </w:r>
          </w:p>
        </w:tc>
        <w:tc>
          <w:tcPr>
            <w:tcW w:type="dxa" w:w="65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tcPr>
          <w:p>
            <w:r>
              <w:rPr>
                <w:rFonts w:ascii="Arial" w:cs="Arial" w:hAnsi="Arial"/>
                <w:color w:val="1A1A2E"/>
                <w:sz w:val="18"/>
                <w:szCs w:val="18"/>
              </w:rPr>
              <w:t>Re-process from stored fetched_emails. No Gmail fetch. Useful for fully offline re-runs.</w:t>
            </w:r>
          </w:p>
        </w:tc>
      </w:tr>
    </w:tbl>
    <w:p>
      <w:pPr>
        <w:spacing w:before="200" w:after="0"/>
      </w:pPr>
    </w:p>
    <w:p>
      <w:pPr>
        <w:pStyle w:val="Heading2"/>
        <w:spacing w:before="300" w:after="100"/>
      </w:pPr>
      <w:r>
        <w:rPr>
          <w:rFonts w:ascii="Arial" w:cs="Arial" w:eastAsia="Arial" w:hAnsi="Arial"/>
          <w:b/>
          <w:bCs/>
          <w:color w:val="1E3A5F"/>
          <w:sz w:val="26"/>
          <w:szCs w:val="26"/>
        </w:rPr>
        <w:t xml:space="preserve">8.  DB-Driven Parser &amp; Classification System</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Both message classification and transaction parsing are entirely driven by configuration stored in the database. There are no hardcoded rules in the application code. Adding support for a new bank or notification format requires only inserting or updating rows in the database — no code changes and no redeploy.</w:t>
      </w:r>
    </w:p>
    <w:p>
      <w:pPr>
        <w:spacing w:before="100" w:after="0"/>
      </w:pPr>
    </w:p>
    <w:p>
      <w:pPr>
        <w:pStyle w:val="Heading3"/>
        <w:spacing w:before="200" w:after="60"/>
      </w:pPr>
      <w:r>
        <w:rPr>
          <w:rFonts w:ascii="Arial" w:cs="Arial" w:eastAsia="Arial" w:hAnsi="Arial"/>
          <w:b/>
          <w:bCs/>
          <w:color w:val="2E6DA4"/>
          <w:sz w:val="22"/>
          <w:szCs w:val="22"/>
        </w:rPr>
        <w:t xml:space="preserve">Message Classification</w:t>
      </w:r>
    </w:p>
    <w:p>
      <w:pPr>
        <w:spacing w:before="60" w:after="60"/>
      </w:pPr>
      <w:r>
        <w:rPr>
          <w:rFonts w:ascii="Arial" w:cs="Arial" w:eastAsia="Arial" w:hAnsi="Arial"/>
          <w:color w:val="1A1A2E"/>
          <w:sz w:val="20"/>
          <w:szCs w:val="20"/>
        </w:rPr>
        <w:t xml:space="preserve">Each incoming email is matched against rows in the classifications table. Rows are evaluated in priority order (highest first); the first matching row wins. A row can match on sender, subject, and/or body using regular expressions (all non-empty regexes must match). The matched row determines the message type:</w:t>
      </w:r>
    </w:p>
    <w:p>
      <w:pPr>
        <w:spacing w:before="40" w:after="0"/>
      </w:pPr>
    </w:p>
    <w:p>
      <w:pPr>
        <w:pStyle w:val="ListParagraph"/>
        <w:numPr>
          <w:ilvl w:val="0"/>
          <w:numId w:val="2"/>
        </w:numPr>
        <w:spacing w:before="40" w:after="40"/>
      </w:pPr>
      <w:r>
        <w:rPr>
          <w:rFonts w:ascii="Arial" w:cs="Arial" w:eastAsia="Arial" w:hAnsi="Arial"/>
          <w:b w:val="false"/>
          <w:bCs w:val="false"/>
          <w:color w:val="1A1A2E"/>
          <w:sz w:val="20"/>
          <w:szCs w:val="20"/>
        </w:rPr>
        <w:t xml:space="preserve">TRANSACTION_ALERT — sent to the parser system.</w:t>
      </w:r>
    </w:p>
    <w:p>
      <w:pPr>
        <w:pStyle w:val="ListParagraph"/>
        <w:numPr>
          <w:ilvl w:val="0"/>
          <w:numId w:val="2"/>
        </w:numPr>
        <w:spacing w:before="40" w:after="40"/>
      </w:pPr>
      <w:r>
        <w:rPr>
          <w:rFonts w:ascii="Arial" w:cs="Arial" w:eastAsia="Arial" w:hAnsi="Arial"/>
          <w:b w:val="false"/>
          <w:bCs w:val="false"/>
          <w:color w:val="1A1A2E"/>
          <w:sz w:val="20"/>
          <w:szCs w:val="20"/>
        </w:rPr>
        <w:t xml:space="preserve">INVESTMENT_NOTICE — sent to the parser system.</w:t>
      </w:r>
    </w:p>
    <w:p>
      <w:pPr>
        <w:pStyle w:val="ListParagraph"/>
        <w:numPr>
          <w:ilvl w:val="0"/>
          <w:numId w:val="2"/>
        </w:numPr>
        <w:spacing w:before="40" w:after="40"/>
      </w:pPr>
      <w:r>
        <w:rPr>
          <w:rFonts w:ascii="Arial" w:cs="Arial" w:eastAsia="Arial" w:hAnsi="Arial"/>
          <w:b w:val="false"/>
          <w:bCs w:val="false"/>
          <w:color w:val="1A1A2E"/>
          <w:sz w:val="20"/>
          <w:szCs w:val="20"/>
        </w:rPr>
        <w:t xml:space="preserve">STATEMENT — stored in unparsed queue (statement parsing is a later phase).</w:t>
      </w:r>
    </w:p>
    <w:p>
      <w:pPr>
        <w:pStyle w:val="ListParagraph"/>
        <w:numPr>
          <w:ilvl w:val="0"/>
          <w:numId w:val="2"/>
        </w:numPr>
        <w:spacing w:before="40" w:after="40"/>
      </w:pPr>
      <w:r>
        <w:rPr>
          <w:rFonts w:ascii="Arial" w:cs="Arial" w:eastAsia="Arial" w:hAnsi="Arial"/>
          <w:b w:val="false"/>
          <w:bCs w:val="false"/>
          <w:color w:val="1A1A2E"/>
          <w:sz w:val="20"/>
          <w:szCs w:val="20"/>
        </w:rPr>
        <w:t xml:space="preserve">SINK — silently discarded (newsletters, marketing, etc.).</w:t>
      </w:r>
    </w:p>
    <w:p>
      <w:pPr>
        <w:pStyle w:val="ListParagraph"/>
        <w:numPr>
          <w:ilvl w:val="0"/>
          <w:numId w:val="2"/>
        </w:numPr>
        <w:spacing w:before="40" w:after="40"/>
      </w:pPr>
      <w:r>
        <w:rPr>
          <w:rFonts w:ascii="Arial" w:cs="Arial" w:eastAsia="Arial" w:hAnsi="Arial"/>
          <w:b w:val="false"/>
          <w:bCs w:val="false"/>
          <w:color w:val="1A1A2E"/>
          <w:sz w:val="20"/>
          <w:szCs w:val="20"/>
        </w:rPr>
        <w:t xml:space="preserve">OTHER — catch-all; stored in unparsed queue.</w:t>
      </w:r>
    </w:p>
    <w:p>
      <w:pPr>
        <w:spacing w:before="60" w:after="0"/>
      </w:pPr>
    </w:p>
    <w:p>
      <w:pPr>
        <w:spacing w:before="60" w:after="60"/>
      </w:pPr>
      <w:r>
        <w:rPr>
          <w:rFonts w:ascii="Arial" w:cs="Arial" w:eastAsia="Arial" w:hAnsi="Arial"/>
          <w:color w:val="1A1A2E"/>
          <w:sz w:val="20"/>
          <w:szCs w:val="20"/>
        </w:rPr>
        <w:t xml:space="preserve">Classification rows can also define extract regexes with named groups to capture additional metadata at classification time (e.g. a classification reason string).</w:t>
      </w:r>
    </w:p>
    <w:p>
      <w:pPr>
        <w:spacing w:before="100" w:after="0"/>
      </w:pPr>
    </w:p>
    <w:p>
      <w:pPr>
        <w:pStyle w:val="Heading3"/>
        <w:spacing w:before="200" w:after="60"/>
      </w:pPr>
      <w:r>
        <w:rPr>
          <w:rFonts w:ascii="Arial" w:cs="Arial" w:eastAsia="Arial" w:hAnsi="Arial"/>
          <w:b/>
          <w:bCs/>
          <w:color w:val="2E6DA4"/>
          <w:sz w:val="22"/>
          <w:szCs w:val="22"/>
        </w:rPr>
        <w:t xml:space="preserve">Transaction Parsing</w:t>
      </w:r>
    </w:p>
    <w:p>
      <w:pPr>
        <w:spacing w:before="60" w:after="60"/>
      </w:pPr>
      <w:r>
        <w:rPr>
          <w:rFonts w:ascii="Arial" w:cs="Arial" w:eastAsia="Arial" w:hAnsi="Arial"/>
          <w:color w:val="1A1A2E"/>
          <w:sz w:val="20"/>
          <w:szCs w:val="20"/>
        </w:rPr>
        <w:t xml:space="preserve">Emails classified as TRANSACTION_ALERT or INVESTMENT_NOTICE are passed to the parser system. Parsers are also defined entirely in the database (parsers table). Each parser row contains match regexes to identify which emails it handles, and extract regexes with named groups to pull out transaction fields.</w:t>
      </w:r>
    </w:p>
    <w:p>
      <w:pPr>
        <w:spacing w:before="60" w:after="0"/>
      </w:pPr>
    </w:p>
    <w:p>
      <w:pPr>
        <w:spacing w:before="60" w:after="60"/>
      </w:pPr>
      <w:r>
        <w:rPr>
          <w:rFonts w:ascii="Arial" w:cs="Arial" w:eastAsia="Arial" w:hAnsi="Arial"/>
          <w:color w:val="1A1A2E"/>
          <w:sz w:val="20"/>
          <w:szCs w:val="20"/>
        </w:rPr>
        <w:t xml:space="preserve">Mandatory fields for a valid transaction (if any are missing, the message goes to unparsed queue):</w:t>
      </w:r>
    </w:p>
    <w:p>
      <w:pPr>
        <w:spacing w:before="40" w:after="0"/>
      </w:pPr>
    </w:p>
    <w:p>
      <w:pPr>
        <w:pStyle w:val="ListParagraph"/>
        <w:numPr>
          <w:ilvl w:val="0"/>
          <w:numId w:val="2"/>
        </w:numPr>
        <w:spacing w:before="40" w:after="40"/>
      </w:pPr>
      <w:r>
        <w:rPr>
          <w:rFonts w:ascii="Arial" w:cs="Arial" w:eastAsia="Arial" w:hAnsi="Arial"/>
          <w:b w:val="false"/>
          <w:bCs w:val="false"/>
          <w:color w:val="1A1A2E"/>
          <w:sz w:val="20"/>
          <w:szCs w:val="20"/>
        </w:rPr>
        <w:t xml:space="preserve">amount — numeric transaction amount.</w:t>
      </w:r>
    </w:p>
    <w:p>
      <w:pPr>
        <w:pStyle w:val="ListParagraph"/>
        <w:numPr>
          <w:ilvl w:val="0"/>
          <w:numId w:val="2"/>
        </w:numPr>
        <w:spacing w:before="40" w:after="40"/>
      </w:pPr>
      <w:r>
        <w:rPr>
          <w:rFonts w:ascii="Arial" w:cs="Arial" w:eastAsia="Arial" w:hAnsi="Arial"/>
          <w:b w:val="false"/>
          <w:bCs w:val="false"/>
          <w:color w:val="1A1A2E"/>
          <w:sz w:val="20"/>
          <w:szCs w:val="20"/>
        </w:rPr>
        <w:t xml:space="preserve">direction — DEBIT or CREDIT.</w:t>
      </w:r>
    </w:p>
    <w:p>
      <w:pPr>
        <w:pStyle w:val="ListParagraph"/>
        <w:numPr>
          <w:ilvl w:val="0"/>
          <w:numId w:val="2"/>
        </w:numPr>
        <w:spacing w:before="40" w:after="40"/>
      </w:pPr>
      <w:r>
        <w:rPr>
          <w:rFonts w:ascii="Arial" w:cs="Arial" w:eastAsia="Arial" w:hAnsi="Arial"/>
          <w:b w:val="false"/>
          <w:bCs w:val="false"/>
          <w:color w:val="1A1A2E"/>
          <w:sz w:val="20"/>
          <w:szCs w:val="20"/>
        </w:rPr>
        <w:t xml:space="preserve">provider — bank or app name (e.g. HDFC, ICICI, PhonePe).</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account_id — account or card identifier (e.g. masked last 4 digits).</w:t>
      </w:r>
    </w:p>
    <w:p>
      <w:pPr>
        <w:spacing w:before="60" w:after="0"/>
      </w:pPr>
    </w:p>
    <w:p>
      <w:pPr>
        <w:spacing w:before="60" w:after="60"/>
      </w:pPr>
      <w:r>
        <w:rPr>
          <w:rFonts w:ascii="Arial" w:cs="Arial" w:eastAsia="Arial" w:hAnsi="Arial"/>
          <w:color w:val="1A1A2E"/>
          <w:sz w:val="20"/>
          <w:szCs w:val="20"/>
        </w:rPr>
        <w:t xml:space="preserve">Parser rows also carry default values for fields like transaction_type, sub_type, account_type, and status. Named group captures in the regexes take precedence over these defaults.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2E6DA4" w:sz="4"/>
              <w:right w:val="none"/>
            </w:tcBorders>
            <w:shd w:fill="EBF2FA" w:val="clear"/>
            <w:tcMar>
              <w:top w:type="dxa" w:w="100"/>
              <w:left w:type="dxa" w:w="180"/>
              <w:bottom w:type="dxa" w:w="100"/>
              <w:right w:type="dxa" w:w="180"/>
            </w:tcMar>
          </w:tcPr>
          <w:p>
            <w:pPr>
              <w:spacing w:before="30" w:after="30"/>
            </w:pPr>
            <w:r>
              <w:rPr>
                <w:rFonts w:ascii="Arial" w:cs="Arial" w:eastAsia="Arial" w:hAnsi="Arial"/>
                <w:color w:val="1A1A2E"/>
                <w:sz w:val="18"/>
                <w:szCs w:val="18"/>
              </w:rPr>
              <w:t xml:space="preserve">The legacy project defines the full parser and classification schema in detail,</w:t>
            </w:r>
          </w:p>
          <w:p>
            <w:pPr>
              <w:spacing w:before="30" w:after="30"/>
            </w:pPr>
            <w:r>
              <w:rPr>
                <w:rFonts w:ascii="Arial" w:cs="Arial" w:eastAsia="Arial" w:hAnsi="Arial"/>
                <w:color w:val="1A1A2E"/>
                <w:sz w:val="18"/>
                <w:szCs w:val="18"/>
              </w:rPr>
              <w:t xml:space="preserve">including all supported named groups, field types, and validation rules.</w:t>
            </w:r>
          </w:p>
          <w:p>
            <w:pPr>
              <w:spacing w:before="30" w:after="30"/>
            </w:pPr>
            <w:r>
              <w:rPr>
                <w:rFonts w:ascii="Arial" w:cs="Arial" w:eastAsia="Arial" w:hAnsi="Arial"/>
                <w:color w:val="1A1A2E"/>
                <w:sz w:val="18"/>
                <w:szCs w:val="18"/>
              </w:rPr>
              <w:t xml:space="preserve">The new implementation uses this schema as its specification.</w:t>
            </w:r>
          </w:p>
        </w:tc>
      </w:tr>
    </w:tbl>
    <w:p>
      <w:pPr>
        <w:spacing w:before="200" w:after="0"/>
      </w:pPr>
    </w:p>
    <w:p>
      <w:pPr>
        <w:pStyle w:val="Heading2"/>
        <w:spacing w:before="300" w:after="100"/>
      </w:pPr>
      <w:r>
        <w:rPr>
          <w:rFonts w:ascii="Arial" w:cs="Arial" w:eastAsia="Arial" w:hAnsi="Arial"/>
          <w:b/>
          <w:bCs/>
          <w:color w:val="1E3A5F"/>
          <w:sz w:val="26"/>
          <w:szCs w:val="26"/>
        </w:rPr>
        <w:t xml:space="preserve">9.  Web Analytics Dashboard</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The web application is a read-only analytics tool. It does not ingest data, configure parsers, or write to the database. Its sole purpose is to surface financial insights from the data that the CLI has already collected.</w:t>
      </w:r>
    </w:p>
    <w:p>
      <w:pPr>
        <w:spacing w:before="100" w:after="0"/>
      </w:pPr>
    </w:p>
    <w:p>
      <w:pPr>
        <w:pStyle w:val="Heading3"/>
        <w:spacing w:before="200" w:after="60"/>
      </w:pPr>
      <w:r>
        <w:rPr>
          <w:rFonts w:ascii="Arial" w:cs="Arial" w:eastAsia="Arial" w:hAnsi="Arial"/>
          <w:b/>
          <w:bCs/>
          <w:color w:val="2E6DA4"/>
          <w:sz w:val="22"/>
          <w:szCs w:val="22"/>
        </w:rPr>
        <w:t xml:space="preserve">Dashboard (Home)</w:t>
      </w:r>
    </w:p>
    <w:p>
      <w:pPr>
        <w:pStyle w:val="ListParagraph"/>
        <w:numPr>
          <w:ilvl w:val="0"/>
          <w:numId w:val="2"/>
        </w:numPr>
        <w:spacing w:before="40" w:after="40"/>
      </w:pPr>
      <w:r>
        <w:rPr>
          <w:rFonts w:ascii="Arial" w:cs="Arial" w:eastAsia="Arial" w:hAnsi="Arial"/>
          <w:b w:val="false"/>
          <w:bCs w:val="false"/>
          <w:color w:val="1A1A2E"/>
          <w:sz w:val="20"/>
          <w:szCs w:val="20"/>
        </w:rPr>
        <w:t xml:space="preserve">KPI cards: total debits, total credits, net cashflow for the current month.</w:t>
      </w:r>
    </w:p>
    <w:p>
      <w:pPr>
        <w:pStyle w:val="ListParagraph"/>
        <w:numPr>
          <w:ilvl w:val="0"/>
          <w:numId w:val="2"/>
        </w:numPr>
        <w:spacing w:before="40" w:after="40"/>
      </w:pPr>
      <w:r>
        <w:rPr>
          <w:rFonts w:ascii="Arial" w:cs="Arial" w:eastAsia="Arial" w:hAnsi="Arial"/>
          <w:b w:val="false"/>
          <w:bCs w:val="false"/>
          <w:color w:val="1A1A2E"/>
          <w:sz w:val="20"/>
          <w:szCs w:val="20"/>
        </w:rPr>
        <w:t xml:space="preserve">Cashflow bar chart: monthly income vs expense for the past 12 months.</w:t>
      </w:r>
    </w:p>
    <w:p>
      <w:pPr>
        <w:pStyle w:val="ListParagraph"/>
        <w:numPr>
          <w:ilvl w:val="0"/>
          <w:numId w:val="2"/>
        </w:numPr>
        <w:spacing w:before="40" w:after="40"/>
      </w:pPr>
      <w:r>
        <w:rPr>
          <w:rFonts w:ascii="Arial" w:cs="Arial" w:eastAsia="Arial" w:hAnsi="Arial"/>
          <w:b w:val="false"/>
          <w:bCs w:val="false"/>
          <w:color w:val="1A1A2E"/>
          <w:sz w:val="20"/>
          <w:szCs w:val="20"/>
        </w:rPr>
        <w:t xml:space="preserve">Spending breakdown: top categories this month (donut chart).</w:t>
      </w:r>
    </w:p>
    <w:p>
      <w:pPr>
        <w:pStyle w:val="ListParagraph"/>
        <w:numPr>
          <w:ilvl w:val="0"/>
          <w:numId w:val="2"/>
        </w:numPr>
        <w:spacing w:before="40" w:after="40"/>
      </w:pPr>
      <w:r>
        <w:rPr>
          <w:rFonts w:ascii="Arial" w:cs="Arial" w:eastAsia="Arial" w:hAnsi="Arial"/>
          <w:b w:val="false"/>
          <w:bCs w:val="false"/>
          <w:color w:val="1A1A2E"/>
          <w:sz w:val="20"/>
          <w:szCs w:val="20"/>
        </w:rPr>
        <w:t xml:space="preserve">Recent transactions: last 10 transactions across all accounts.</w:t>
      </w:r>
    </w:p>
    <w:p>
      <w:pPr>
        <w:spacing w:before="80" w:after="0"/>
      </w:pPr>
    </w:p>
    <w:p>
      <w:pPr>
        <w:pStyle w:val="Heading3"/>
        <w:spacing w:before="200" w:after="60"/>
      </w:pPr>
      <w:r>
        <w:rPr>
          <w:rFonts w:ascii="Arial" w:cs="Arial" w:eastAsia="Arial" w:hAnsi="Arial"/>
          <w:b/>
          <w:bCs/>
          <w:color w:val="2E6DA4"/>
          <w:sz w:val="22"/>
          <w:szCs w:val="22"/>
        </w:rPr>
        <w:t xml:space="preserve">Transactions</w:t>
      </w:r>
    </w:p>
    <w:p>
      <w:pPr>
        <w:pStyle w:val="ListParagraph"/>
        <w:numPr>
          <w:ilvl w:val="0"/>
          <w:numId w:val="2"/>
        </w:numPr>
        <w:spacing w:before="40" w:after="40"/>
      </w:pPr>
      <w:r>
        <w:rPr>
          <w:rFonts w:ascii="Arial" w:cs="Arial" w:eastAsia="Arial" w:hAnsi="Arial"/>
          <w:b w:val="false"/>
          <w:bCs w:val="false"/>
          <w:color w:val="1A1A2E"/>
          <w:sz w:val="20"/>
          <w:szCs w:val="20"/>
        </w:rPr>
        <w:t xml:space="preserve">Paginated table of all transactions across all accounts.</w:t>
      </w:r>
    </w:p>
    <w:p>
      <w:pPr>
        <w:pStyle w:val="ListParagraph"/>
        <w:numPr>
          <w:ilvl w:val="0"/>
          <w:numId w:val="2"/>
        </w:numPr>
        <w:spacing w:before="40" w:after="40"/>
      </w:pPr>
      <w:r>
        <w:rPr>
          <w:rFonts w:ascii="Arial" w:cs="Arial" w:eastAsia="Arial" w:hAnsi="Arial"/>
          <w:b w:val="false"/>
          <w:bCs w:val="false"/>
          <w:color w:val="1A1A2E"/>
          <w:sz w:val="20"/>
          <w:szCs w:val="20"/>
        </w:rPr>
        <w:t xml:space="preserve">Filters: date range, account/provider, category, direction (debit/credit), channel.</w:t>
      </w:r>
    </w:p>
    <w:p>
      <w:pPr>
        <w:pStyle w:val="ListParagraph"/>
        <w:numPr>
          <w:ilvl w:val="0"/>
          <w:numId w:val="2"/>
        </w:numPr>
        <w:spacing w:before="40" w:after="40"/>
      </w:pPr>
      <w:r>
        <w:rPr>
          <w:rFonts w:ascii="Arial" w:cs="Arial" w:eastAsia="Arial" w:hAnsi="Arial"/>
          <w:b w:val="false"/>
          <w:bCs w:val="false"/>
          <w:color w:val="1A1A2E"/>
          <w:sz w:val="20"/>
          <w:szCs w:val="20"/>
        </w:rPr>
        <w:t xml:space="preserve">Full-text search by merchant or payee name.</w:t>
      </w:r>
    </w:p>
    <w:p>
      <w:pPr>
        <w:pStyle w:val="ListParagraph"/>
        <w:numPr>
          <w:ilvl w:val="0"/>
          <w:numId w:val="2"/>
        </w:numPr>
        <w:spacing w:before="40" w:after="40"/>
      </w:pPr>
      <w:r>
        <w:rPr>
          <w:rFonts w:ascii="Arial" w:cs="Arial" w:eastAsia="Arial" w:hAnsi="Arial"/>
          <w:b w:val="false"/>
          <w:bCs w:val="false"/>
          <w:color w:val="1A1A2E"/>
          <w:sz w:val="20"/>
          <w:szCs w:val="20"/>
        </w:rPr>
        <w:t xml:space="preserve">Sort by date, amount, or merchant.</w:t>
      </w:r>
    </w:p>
    <w:p>
      <w:pPr>
        <w:spacing w:before="80" w:after="0"/>
      </w:pPr>
    </w:p>
    <w:p>
      <w:pPr>
        <w:pStyle w:val="Heading3"/>
        <w:spacing w:before="200" w:after="60"/>
      </w:pPr>
      <w:r>
        <w:rPr>
          <w:rFonts w:ascii="Arial" w:cs="Arial" w:eastAsia="Arial" w:hAnsi="Arial"/>
          <w:b/>
          <w:bCs/>
          <w:color w:val="2E6DA4"/>
          <w:sz w:val="22"/>
          <w:szCs w:val="22"/>
        </w:rPr>
        <w:t xml:space="preserve">Analytics</w:t>
      </w:r>
    </w:p>
    <w:p>
      <w:pPr>
        <w:pStyle w:val="ListParagraph"/>
        <w:numPr>
          <w:ilvl w:val="0"/>
          <w:numId w:val="2"/>
        </w:numPr>
        <w:spacing w:before="40" w:after="40"/>
      </w:pPr>
      <w:r>
        <w:rPr>
          <w:rFonts w:ascii="Arial" w:cs="Arial" w:eastAsia="Arial" w:hAnsi="Arial"/>
          <w:b w:val="false"/>
          <w:bCs w:val="false"/>
          <w:color w:val="1A1A2E"/>
          <w:sz w:val="20"/>
          <w:szCs w:val="20"/>
        </w:rPr>
        <w:t xml:space="preserve">Spending by category — donut or bar chart, filterable by month or date range.</w:t>
      </w:r>
    </w:p>
    <w:p>
      <w:pPr>
        <w:pStyle w:val="ListParagraph"/>
        <w:numPr>
          <w:ilvl w:val="0"/>
          <w:numId w:val="2"/>
        </w:numPr>
        <w:spacing w:before="40" w:after="40"/>
      </w:pPr>
      <w:r>
        <w:rPr>
          <w:rFonts w:ascii="Arial" w:cs="Arial" w:eastAsia="Arial" w:hAnsi="Arial"/>
          <w:b w:val="false"/>
          <w:bCs w:val="false"/>
          <w:color w:val="1A1A2E"/>
          <w:sz w:val="20"/>
          <w:szCs w:val="20"/>
        </w:rPr>
        <w:t xml:space="preserve">Monthly trend per category — line chart showing how each category changes over time.</w:t>
      </w:r>
    </w:p>
    <w:p>
      <w:pPr>
        <w:pStyle w:val="ListParagraph"/>
        <w:numPr>
          <w:ilvl w:val="0"/>
          <w:numId w:val="2"/>
        </w:numPr>
        <w:spacing w:before="40" w:after="40"/>
      </w:pPr>
      <w:r>
        <w:rPr>
          <w:rFonts w:ascii="Arial" w:cs="Arial" w:eastAsia="Arial" w:hAnsi="Arial"/>
          <w:b w:val="false"/>
          <w:bCs w:val="false"/>
          <w:color w:val="1A1A2E"/>
          <w:sz w:val="20"/>
          <w:szCs w:val="20"/>
        </w:rPr>
        <w:t xml:space="preserve">Income vs expense over time — stacked bar chart.</w:t>
      </w:r>
    </w:p>
    <w:p>
      <w:pPr>
        <w:pStyle w:val="ListParagraph"/>
        <w:numPr>
          <w:ilvl w:val="0"/>
          <w:numId w:val="2"/>
        </w:numPr>
        <w:spacing w:before="40" w:after="40"/>
      </w:pPr>
      <w:r>
        <w:rPr>
          <w:rFonts w:ascii="Arial" w:cs="Arial" w:eastAsia="Arial" w:hAnsi="Arial"/>
          <w:b w:val="false"/>
          <w:bCs w:val="false"/>
          <w:color w:val="1A1A2E"/>
          <w:sz w:val="20"/>
          <w:szCs w:val="20"/>
        </w:rPr>
        <w:t xml:space="preserve">Top merchants by total spend — for a selected period.</w:t>
      </w:r>
    </w:p>
    <w:p>
      <w:pPr>
        <w:pStyle w:val="ListParagraph"/>
        <w:numPr>
          <w:ilvl w:val="0"/>
          <w:numId w:val="2"/>
        </w:numPr>
        <w:spacing w:before="40" w:after="40"/>
      </w:pPr>
      <w:r>
        <w:rPr>
          <w:rFonts w:ascii="Arial" w:cs="Arial" w:eastAsia="Arial" w:hAnsi="Arial"/>
          <w:b w:val="false"/>
          <w:bCs w:val="false"/>
          <w:color w:val="1A1A2E"/>
          <w:sz w:val="20"/>
          <w:szCs w:val="20"/>
        </w:rPr>
        <w:t xml:space="preserve">Recurring transactions — detected by pattern (same merchant, similar amount, regular interval).</w:t>
      </w:r>
    </w:p>
    <w:p>
      <w:pPr>
        <w:pStyle w:val="ListParagraph"/>
        <w:numPr>
          <w:ilvl w:val="0"/>
          <w:numId w:val="2"/>
        </w:numPr>
        <w:spacing w:before="40" w:after="40"/>
      </w:pPr>
      <w:r>
        <w:rPr>
          <w:rFonts w:ascii="Arial" w:cs="Arial" w:eastAsia="Arial" w:hAnsi="Arial"/>
          <w:b w:val="false"/>
          <w:bCs w:val="false"/>
          <w:color w:val="1A1A2E"/>
          <w:sz w:val="20"/>
          <w:szCs w:val="20"/>
        </w:rPr>
        <w:t xml:space="preserve">Anomaly highlights — transactions significantly above the usual amount for a category.</w:t>
      </w:r>
    </w:p>
    <w:p>
      <w:pPr>
        <w:spacing w:before="80" w:after="0"/>
      </w:pPr>
    </w:p>
    <w:p>
      <w:pPr>
        <w:pStyle w:val="Heading3"/>
        <w:spacing w:before="200" w:after="60"/>
      </w:pPr>
      <w:r>
        <w:rPr>
          <w:rFonts w:ascii="Arial" w:cs="Arial" w:eastAsia="Arial" w:hAnsi="Arial"/>
          <w:b/>
          <w:bCs/>
          <w:color w:val="2E6DA4"/>
          <w:sz w:val="22"/>
          <w:szCs w:val="22"/>
        </w:rPr>
        <w:t xml:space="preserve">Accounts</w:t>
      </w:r>
    </w:p>
    <w:p>
      <w:pPr>
        <w:pStyle w:val="ListParagraph"/>
        <w:numPr>
          <w:ilvl w:val="0"/>
          <w:numId w:val="2"/>
        </w:numPr>
        <w:spacing w:before="40" w:after="40"/>
      </w:pPr>
      <w:r>
        <w:rPr>
          <w:rFonts w:ascii="Arial" w:cs="Arial" w:eastAsia="Arial" w:hAnsi="Arial"/>
          <w:b w:val="false"/>
          <w:bCs w:val="false"/>
          <w:color w:val="1A1A2E"/>
          <w:sz w:val="20"/>
          <w:szCs w:val="20"/>
        </w:rPr>
        <w:t xml:space="preserve">One card per source (bank/card/wallet) with recent activity.</w:t>
      </w:r>
    </w:p>
    <w:p>
      <w:pPr>
        <w:pStyle w:val="ListParagraph"/>
        <w:numPr>
          <w:ilvl w:val="0"/>
          <w:numId w:val="2"/>
        </w:numPr>
        <w:spacing w:before="40" w:after="40"/>
      </w:pPr>
      <w:r>
        <w:rPr>
          <w:rFonts w:ascii="Arial" w:cs="Arial" w:eastAsia="Arial" w:hAnsi="Arial"/>
          <w:b w:val="false"/>
          <w:bCs w:val="false"/>
          <w:color w:val="1A1A2E"/>
          <w:sz w:val="20"/>
          <w:szCs w:val="20"/>
        </w:rPr>
        <w:t xml:space="preserve">Per-account transaction history and spend trend.</w:t>
      </w:r>
    </w:p>
    <w:p>
      <w:pPr>
        <w:pStyle w:val="ListParagraph"/>
        <w:numPr>
          <w:ilvl w:val="0"/>
          <w:numId w:val="2"/>
        </w:numPr>
        <w:spacing w:before="40" w:after="40"/>
      </w:pPr>
      <w:r>
        <w:rPr>
          <w:rFonts w:ascii="Arial" w:cs="Arial" w:eastAsia="Arial" w:hAnsi="Arial"/>
          <w:b w:val="false"/>
          <w:bCs w:val="false"/>
          <w:color w:val="1A1A2E"/>
          <w:sz w:val="20"/>
          <w:szCs w:val="20"/>
        </w:rPr>
        <w:t xml:space="preserve">Channel breakdown: how spend is distributed across UPI / card / NEFT / ATM.</w:t>
      </w:r>
    </w:p>
    <w:p>
      <w:pPr>
        <w:spacing w:before="200" w:after="0"/>
      </w:pPr>
    </w:p>
    <w:p>
      <w:pPr>
        <w:pStyle w:val="Heading2"/>
        <w:spacing w:before="300" w:after="100"/>
      </w:pPr>
      <w:r>
        <w:rPr>
          <w:rFonts w:ascii="Arial" w:cs="Arial" w:eastAsia="Arial" w:hAnsi="Arial"/>
          <w:b/>
          <w:bCs/>
          <w:color w:val="1E3A5F"/>
          <w:sz w:val="26"/>
          <w:szCs w:val="26"/>
        </w:rPr>
        <w:t xml:space="preserve">10.  Technology Stack</w:t>
      </w:r>
    </w:p>
    <w:p>
      <w:pPr>
        <w:pBdr>
          <w:bottom w:val="single" w:color="BBCFE0" w:sz="4" w:space="1"/>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Layer</w:t>
            </w:r>
          </w:p>
        </w:tc>
        <w:tc>
          <w:tcPr>
            <w:tcW w:type="dxa" w:w="28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Technology</w:t>
            </w:r>
          </w:p>
        </w:tc>
        <w:tc>
          <w:tcPr>
            <w:tcW w:type="dxa" w:w="47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Purpose</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CLI / Ingestion</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Python 3.11+</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Core ingestion language</w:t>
            </w:r>
          </w:p>
        </w:tc>
      </w:tr>
      <w:tr>
        <w:tc>
          <w:tcPr>
            <w:tcW w:type="dxa" w:w="1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CLI / Ingestion</w:t>
            </w:r>
          </w:p>
        </w:tc>
        <w:tc>
          <w:tcPr>
            <w:tcW w:type="dxa" w:w="2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google-api-python-client</w:t>
            </w:r>
          </w:p>
        </w:tc>
        <w:tc>
          <w:tcPr>
            <w:tcW w:type="dxa" w:w="47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Gmail API read-only access</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CLI / Ingestion</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SQLAlchemy</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ORM, shared with API layer</w:t>
            </w:r>
          </w:p>
        </w:tc>
      </w:tr>
      <w:tr>
        <w:tc>
          <w:tcPr>
            <w:tcW w:type="dxa" w:w="1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CLI / Ingestion</w:t>
            </w:r>
          </w:p>
        </w:tc>
        <w:tc>
          <w:tcPr>
            <w:tcW w:type="dxa" w:w="2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Pydantic</w:t>
            </w:r>
          </w:p>
        </w:tc>
        <w:tc>
          <w:tcPr>
            <w:tcW w:type="dxa" w:w="47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Transaction schema validation</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CLI / Ingestion</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Alembic</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Database migrations</w:t>
            </w:r>
          </w:p>
        </w:tc>
      </w:tr>
      <w:tr>
        <w:tc>
          <w:tcPr>
            <w:tcW w:type="dxa" w:w="1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API</w:t>
            </w:r>
          </w:p>
        </w:tc>
        <w:tc>
          <w:tcPr>
            <w:tcW w:type="dxa" w:w="2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FastAPI</w:t>
            </w:r>
          </w:p>
        </w:tc>
        <w:tc>
          <w:tcPr>
            <w:tcW w:type="dxa" w:w="47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REST API with auto docs at /docs</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API</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Uvicorn</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ASGI server</w:t>
            </w:r>
          </w:p>
        </w:tc>
      </w:tr>
      <w:tr>
        <w:tc>
          <w:tcPr>
            <w:tcW w:type="dxa" w:w="1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Frontend</w:t>
            </w:r>
          </w:p>
        </w:tc>
        <w:tc>
          <w:tcPr>
            <w:tcW w:type="dxa" w:w="2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React 18 + Vite</w:t>
            </w:r>
          </w:p>
        </w:tc>
        <w:tc>
          <w:tcPr>
            <w:tcW w:type="dxa" w:w="47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UI framework and build tooling</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Frontend</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TanStack Query</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API data fetching and caching</w:t>
            </w:r>
          </w:p>
        </w:tc>
      </w:tr>
      <w:tr>
        <w:tc>
          <w:tcPr>
            <w:tcW w:type="dxa" w:w="1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Frontend</w:t>
            </w:r>
          </w:p>
        </w:tc>
        <w:tc>
          <w:tcPr>
            <w:tcW w:type="dxa" w:w="2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Tailwind CSS</w:t>
            </w:r>
          </w:p>
        </w:tc>
        <w:tc>
          <w:tcPr>
            <w:tcW w:type="dxa" w:w="47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Utility-first styling</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Frontend</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Recharts / Chart.js</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Analytics charts</w:t>
            </w:r>
          </w:p>
        </w:tc>
      </w:tr>
      <w:tr>
        <w:tc>
          <w:tcPr>
            <w:tcW w:type="dxa" w:w="1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Infrastructure</w:t>
            </w:r>
          </w:p>
        </w:tc>
        <w:tc>
          <w:tcPr>
            <w:tcW w:type="dxa" w:w="280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Docker + Docker Compose</w:t>
            </w:r>
          </w:p>
        </w:tc>
        <w:tc>
          <w:tcPr>
            <w:tcW w:type="dxa" w:w="4760"/>
            <w:tcBorders>
              <w:top w:val="single" w:color="BBCFE0" w:sz="1"/>
              <w:left w:val="single" w:color="BBCFE0" w:sz="1"/>
              <w:bottom w:val="single" w:color="BBCFE0" w:sz="1"/>
              <w:right w:val="single" w:color="BBCFE0" w:sz="1"/>
            </w:tcBorders>
            <w:shd w:fill="EBF2FA" w:val="clear"/>
            <w:tcMar>
              <w:top w:type="dxa" w:w="80"/>
              <w:left w:type="dxa" w:w="130"/>
              <w:bottom w:type="dxa" w:w="80"/>
              <w:right w:type="dxa" w:w="130"/>
            </w:tcMar>
          </w:tcPr>
          <w:p>
            <w:r>
              <w:rPr>
                <w:rFonts w:ascii="Arial" w:cs="Arial" w:eastAsia="Arial" w:hAnsi="Arial"/>
                <w:color w:val="1A1A2E"/>
                <w:sz w:val="18"/>
                <w:szCs w:val="18"/>
              </w:rPr>
              <w:t xml:space="preserve">Containerised local deployment</w:t>
            </w:r>
          </w:p>
        </w:tc>
      </w:tr>
      <w:tr>
        <w:tc>
          <w:tcPr>
            <w:tcW w:type="dxa" w:w="1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Infrastructure</w:t>
            </w:r>
          </w:p>
        </w:tc>
        <w:tc>
          <w:tcPr>
            <w:tcW w:type="dxa" w:w="280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SQLite (WAL mode)</w:t>
            </w:r>
          </w:p>
        </w:tc>
        <w:tc>
          <w:tcPr>
            <w:tcW w:type="dxa" w:w="4760"/>
            <w:tcBorders>
              <w:top w:val="single" w:color="BBCFE0" w:sz="1"/>
              <w:left w:val="single" w:color="BBCFE0" w:sz="1"/>
              <w:bottom w:val="single" w:color="BBCFE0" w:sz="1"/>
              <w:right w:val="single" w:color="BBCFE0" w:sz="1"/>
            </w:tcBorders>
            <w:shd w:fill="FFFFFF" w:val="clear"/>
            <w:tcMar>
              <w:top w:type="dxa" w:w="80"/>
              <w:left w:type="dxa" w:w="130"/>
              <w:bottom w:type="dxa" w:w="80"/>
              <w:right w:type="dxa" w:w="130"/>
            </w:tcMar>
          </w:tcPr>
          <w:p>
            <w:r>
              <w:rPr>
                <w:rFonts w:ascii="Arial" w:cs="Arial" w:eastAsia="Arial" w:hAnsi="Arial"/>
                <w:color w:val="1A1A2E"/>
                <w:sz w:val="18"/>
                <w:szCs w:val="18"/>
              </w:rPr>
              <w:t xml:space="preserve">Local-first persistent storage</w:t>
            </w:r>
          </w:p>
        </w:tc>
      </w:tr>
    </w:tbl>
    <w:p>
      <w:pPr>
        <w:spacing w:before="200" w:after="0"/>
      </w:pPr>
    </w:p>
    <w:p>
      <w:r>
        <w:br w:type="page"/>
      </w:r>
    </w:p>
    <w:p>
      <w:pPr>
        <w:pStyle w:val="Heading2"/>
        <w:spacing w:before="300" w:after="100"/>
      </w:pPr>
      <w:r>
        <w:rPr>
          <w:rFonts w:ascii="Arial" w:cs="Arial" w:eastAsia="Arial" w:hAnsi="Arial"/>
          <w:b/>
          <w:bCs/>
          <w:color w:val="1E3A5F"/>
          <w:sz w:val="26"/>
          <w:szCs w:val="26"/>
        </w:rPr>
        <w:t xml:space="preserve">11.  Project Structure</w:t>
      </w:r>
    </w:p>
    <w:p>
      <w:pPr>
        <w:pBdr>
          <w:bottom w:val="single" w:color="BBCFE0" w:sz="4" w:space="1"/>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2E6DA4" w:sz="4"/>
              <w:right w:val="none"/>
            </w:tcBorders>
            <w:shd w:fill="EBF2FA" w:val="clear"/>
            <w:tcMar>
              <w:top w:type="dxa" w:w="100"/>
              <w:left w:type="dxa" w:w="180"/>
              <w:bottom w:type="dxa" w:w="100"/>
              <w:right w:type="dxa" w:w="180"/>
            </w:tcMar>
          </w:tcPr>
          <w:p>
            <w:pPr>
              <w:spacing w:before="30" w:after="30"/>
            </w:pPr>
            <w:r>
              <w:rPr>
                <w:rFonts w:ascii="Arial" w:cs="Arial" w:eastAsia="Arial" w:hAnsi="Arial"/>
                <w:color w:val="1A1A2E"/>
                <w:sz w:val="18"/>
                <w:szCs w:val="18"/>
              </w:rPr>
              <w:t xml:space="preserve">finance-app/</w:t>
            </w:r>
          </w:p>
          <w:p>
            <w:pPr>
              <w:spacing w:before="30" w:after="30"/>
            </w:pPr>
            <w:r>
              <w:rPr>
                <w:rFonts w:ascii="Arial" w:cs="Arial" w:eastAsia="Arial" w:hAnsi="Arial"/>
                <w:color w:val="1A1A2E"/>
                <w:sz w:val="18"/>
                <w:szCs w:val="18"/>
              </w:rPr>
              <w:t xml:space="preserve">├── backend/</w:t>
            </w:r>
          </w:p>
          <w:p>
            <w:pPr>
              <w:spacing w:before="30" w:after="30"/>
            </w:pPr>
            <w:r>
              <w:rPr>
                <w:rFonts w:ascii="Arial" w:cs="Arial" w:eastAsia="Arial" w:hAnsi="Arial"/>
                <w:color w:val="1A1A2E"/>
                <w:sz w:val="18"/>
                <w:szCs w:val="18"/>
              </w:rPr>
              <w:t xml:space="preserve">│   ├── app/                  FastAPI app  (routers/, models/, schemas/, services/)</w:t>
            </w:r>
          </w:p>
          <w:p>
            <w:pPr>
              <w:spacing w:before="30" w:after="30"/>
            </w:pPr>
            <w:r>
              <w:rPr>
                <w:rFonts w:ascii="Arial" w:cs="Arial" w:eastAsia="Arial" w:hAnsi="Arial"/>
                <w:color w:val="1A1A2E"/>
                <w:sz w:val="18"/>
                <w:szCs w:val="18"/>
              </w:rPr>
              <w:t xml:space="preserve">│   ├── ingestion/            Ingestion engine</w:t>
            </w:r>
          </w:p>
          <w:p>
            <w:pPr>
              <w:spacing w:before="30" w:after="30"/>
            </w:pPr>
            <w:r>
              <w:rPr>
                <w:rFonts w:ascii="Arial" w:cs="Arial" w:eastAsia="Arial" w:hAnsi="Arial"/>
                <w:color w:val="1A1A2E"/>
                <w:sz w:val="18"/>
                <w:szCs w:val="18"/>
              </w:rPr>
              <w:t xml:space="preserve">│   │   ├── gmail/            OAuth2 + API client</w:t>
            </w:r>
          </w:p>
          <w:p>
            <w:pPr>
              <w:spacing w:before="30" w:after="30"/>
            </w:pPr>
            <w:r>
              <w:rPr>
                <w:rFonts w:ascii="Arial" w:cs="Arial" w:eastAsia="Arial" w:hAnsi="Arial"/>
                <w:color w:val="1A1A2E"/>
                <w:sz w:val="18"/>
                <w:szCs w:val="18"/>
              </w:rPr>
              <w:t xml:space="preserve">│   │   ├── parsers/          One class per parser type (DB-configured)</w:t>
            </w:r>
          </w:p>
          <w:p>
            <w:pPr>
              <w:spacing w:before="30" w:after="30"/>
            </w:pPr>
            <w:r>
              <w:rPr>
                <w:rFonts w:ascii="Arial" w:cs="Arial" w:eastAsia="Arial" w:hAnsi="Arial"/>
                <w:color w:val="1A1A2E"/>
                <w:sz w:val="18"/>
                <w:szCs w:val="18"/>
              </w:rPr>
              <w:t xml:space="preserve">│   │   ├── classifier.py     DB-driven message classification</w:t>
            </w:r>
          </w:p>
          <w:p>
            <w:pPr>
              <w:spacing w:before="30" w:after="30"/>
            </w:pPr>
            <w:r>
              <w:rPr>
                <w:rFonts w:ascii="Arial" w:cs="Arial" w:eastAsia="Arial" w:hAnsi="Arial"/>
                <w:color w:val="1A1A2E"/>
                <w:sz w:val="18"/>
                <w:szCs w:val="18"/>
              </w:rPr>
              <w:t xml:space="preserve">│   │   └── pipeline.py       Orchestrates fetch → classify → parse → save</w:t>
            </w:r>
          </w:p>
          <w:p>
            <w:pPr>
              <w:spacing w:before="30" w:after="30"/>
            </w:pPr>
            <w:r>
              <w:rPr>
                <w:rFonts w:ascii="Arial" w:cs="Arial" w:eastAsia="Arial" w:hAnsi="Arial"/>
                <w:color w:val="1A1A2E"/>
                <w:sz w:val="18"/>
                <w:szCs w:val="18"/>
              </w:rPr>
              <w:t xml:space="preserve">│   ├── cli.py                CLI entry point</w:t>
            </w:r>
          </w:p>
          <w:p>
            <w:pPr>
              <w:spacing w:before="30" w:after="30"/>
            </w:pPr>
            <w:r>
              <w:rPr>
                <w:rFonts w:ascii="Arial" w:cs="Arial" w:eastAsia="Arial" w:hAnsi="Arial"/>
                <w:color w:val="1A1A2E"/>
                <w:sz w:val="18"/>
                <w:szCs w:val="18"/>
              </w:rPr>
              <w:t xml:space="preserve">│   ├── config.py             Central config (env vars / .env)</w:t>
            </w:r>
          </w:p>
          <w:p>
            <w:pPr>
              <w:spacing w:before="30" w:after="30"/>
            </w:pPr>
            <w:r>
              <w:rPr>
                <w:rFonts w:ascii="Arial" w:cs="Arial" w:eastAsia="Arial" w:hAnsi="Arial"/>
                <w:color w:val="1A1A2E"/>
                <w:sz w:val="18"/>
                <w:szCs w:val="18"/>
              </w:rPr>
              <w:t xml:space="preserve">│   ├── database.py           Shared DB init (ingestion + API)</w:t>
            </w:r>
          </w:p>
          <w:p>
            <w:pPr>
              <w:spacing w:before="30" w:after="30"/>
            </w:pPr>
            <w:r>
              <w:rPr>
                <w:rFonts w:ascii="Arial" w:cs="Arial" w:eastAsia="Arial" w:hAnsi="Arial"/>
                <w:color w:val="1A1A2E"/>
                <w:sz w:val="18"/>
                <w:szCs w:val="18"/>
              </w:rPr>
              <w:t xml:space="preserve">│   └── requirements.txt</w:t>
            </w:r>
          </w:p>
          <w:p>
            <w:pPr>
              <w:spacing w:before="30" w:after="30"/>
            </w:pPr>
            <w:r>
              <w:rPr>
                <w:rFonts w:ascii="Arial" w:cs="Arial" w:eastAsia="Arial" w:hAnsi="Arial"/>
                <w:color w:val="1A1A2E"/>
                <w:sz w:val="18"/>
                <w:szCs w:val="18"/>
              </w:rPr>
              <w:t xml:space="preserve">├── frontend/</w:t>
            </w:r>
          </w:p>
          <w:p>
            <w:pPr>
              <w:spacing w:before="30" w:after="30"/>
            </w:pPr>
            <w:r>
              <w:rPr>
                <w:rFonts w:ascii="Arial" w:cs="Arial" w:eastAsia="Arial" w:hAnsi="Arial"/>
                <w:color w:val="1A1A2E"/>
                <w:sz w:val="18"/>
                <w:szCs w:val="18"/>
              </w:rPr>
              <w:t xml:space="preserve">│   ├── src/pages/            Dashboard, Transactions, Analytics, Accounts</w:t>
            </w:r>
          </w:p>
          <w:p>
            <w:pPr>
              <w:spacing w:before="30" w:after="30"/>
            </w:pPr>
            <w:r>
              <w:rPr>
                <w:rFonts w:ascii="Arial" w:cs="Arial" w:eastAsia="Arial" w:hAnsi="Arial"/>
                <w:color w:val="1A1A2E"/>
                <w:sz w:val="18"/>
                <w:szCs w:val="18"/>
              </w:rPr>
              <w:t xml:space="preserve">│   ├── src/components/       Charts, tables, common UI</w:t>
            </w:r>
          </w:p>
          <w:p>
            <w:pPr>
              <w:spacing w:before="30" w:after="30"/>
            </w:pPr>
            <w:r>
              <w:rPr>
                <w:rFonts w:ascii="Arial" w:cs="Arial" w:eastAsia="Arial" w:hAnsi="Arial"/>
                <w:color w:val="1A1A2E"/>
                <w:sz w:val="18"/>
                <w:szCs w:val="18"/>
              </w:rPr>
              <w:t xml:space="preserve">│   ├── src/services/api.js   All FastAPI calls</w:t>
            </w:r>
          </w:p>
          <w:p>
            <w:pPr>
              <w:spacing w:before="30" w:after="30"/>
            </w:pPr>
            <w:r>
              <w:rPr>
                <w:rFonts w:ascii="Arial" w:cs="Arial" w:eastAsia="Arial" w:hAnsi="Arial"/>
                <w:color w:val="1A1A2E"/>
                <w:sz w:val="18"/>
                <w:szCs w:val="18"/>
              </w:rPr>
              <w:t xml:space="preserve">│   └── vite.config.js</w:t>
            </w:r>
          </w:p>
          <w:p>
            <w:pPr>
              <w:spacing w:before="30" w:after="30"/>
            </w:pPr>
            <w:r>
              <w:rPr>
                <w:rFonts w:ascii="Arial" w:cs="Arial" w:eastAsia="Arial" w:hAnsi="Arial"/>
                <w:color w:val="1A1A2E"/>
                <w:sz w:val="18"/>
                <w:szCs w:val="18"/>
              </w:rPr>
              <w:t xml:space="preserve">├── docker-compose.yml        Runs backend + frontend together</w:t>
            </w:r>
          </w:p>
          <w:p>
            <w:pPr>
              <w:spacing w:before="30" w:after="30"/>
            </w:pPr>
            <w:r>
              <w:rPr>
                <w:rFonts w:ascii="Arial" w:cs="Arial" w:eastAsia="Arial" w:hAnsi="Arial"/>
                <w:color w:val="1A1A2E"/>
                <w:sz w:val="18"/>
                <w:szCs w:val="18"/>
              </w:rPr>
              <w:t xml:space="preserve">└── README.md</w:t>
            </w:r>
          </w:p>
        </w:tc>
      </w:tr>
    </w:tbl>
    <w:p>
      <w:pPr>
        <w:spacing w:before="200" w:after="0"/>
      </w:pPr>
    </w:p>
    <w:p>
      <w:pPr>
        <w:pStyle w:val="Heading2"/>
        <w:spacing w:before="300" w:after="100"/>
      </w:pPr>
      <w:r>
        <w:rPr>
          <w:rFonts w:ascii="Arial" w:cs="Arial" w:eastAsia="Arial" w:hAnsi="Arial"/>
          <w:b/>
          <w:bCs/>
          <w:color w:val="1E3A5F"/>
          <w:sz w:val="26"/>
          <w:szCs w:val="26"/>
        </w:rPr>
        <w:t xml:space="preserve">12.  Roadmap</w:t>
      </w:r>
    </w:p>
    <w:p>
      <w:pPr>
        <w:pBdr>
          <w:bottom w:val="single" w:color="BBCFE0" w:sz="4" w:space="1"/>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4960"/>
        <w:gridCol w:w="1200"/>
      </w:tblGrid>
      <w:tr>
        <w:tc>
          <w:tcPr>
            <w:tcW w:type="dxa" w:w="11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Phase</w:t>
            </w:r>
          </w:p>
        </w:tc>
        <w:tc>
          <w:tcPr>
            <w:tcW w:type="dxa" w:w="21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Title</w:t>
            </w:r>
          </w:p>
        </w:tc>
        <w:tc>
          <w:tcPr>
            <w:tcW w:type="dxa" w:w="49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Scope</w:t>
            </w:r>
          </w:p>
        </w:tc>
        <w:tc>
          <w:tcPr>
            <w:tcW w:type="dxa" w:w="12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Status</w:t>
            </w:r>
          </w:p>
        </w:tc>
      </w:tr>
      <w:tr>
        <w:tc>
          <w:tcPr>
            <w:tcW w:type="dxa" w:w="11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bCs/>
                <w:color w:val="1E3A5F"/>
                <w:sz w:val="18"/>
                <w:szCs w:val="18"/>
              </w:rPr>
              <w:t xml:space="preserve">M1</w:t>
            </w:r>
          </w:p>
        </w:tc>
        <w:tc>
          <w:tcPr>
            <w:tcW w:type="dxa" w:w="21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bCs/>
                <w:color w:val="1A1A2E"/>
                <w:sz w:val="18"/>
                <w:szCs w:val="18"/>
              </w:rPr>
              <w:t xml:space="preserve">Ingestion Core</w:t>
            </w:r>
          </w:p>
        </w:tc>
        <w:tc>
          <w:tcPr>
            <w:tcW w:type="dxa" w:w="4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color w:val="1A1A2E"/>
                <w:sz w:val="18"/>
                <w:szCs w:val="18"/>
              </w:rPr>
              <w:t xml:space="preserve">Gmail OAuth2, DB-driven classifier, DB-driven parsers, SQLite ledger, deduplication, unparsed queue, CLI (ingest / poll / export / stats / unparsed)</w:t>
            </w:r>
          </w:p>
        </w:tc>
        <w:tc>
          <w:tcPr>
            <w:tcW w:type="dxa" w:w="1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center"/>
            </w:pPr>
            <w:r>
              <w:rPr>
                <w:rFonts w:ascii="Arial" w:cs="Arial" w:eastAsia="Arial" w:hAnsi="Arial"/>
                <w:b w:val="false"/>
                <w:bCs w:val="false"/>
                <w:color w:val="1A1A2E"/>
                <w:sz w:val="18"/>
                <w:szCs w:val="18"/>
              </w:rPr>
              <w:t xml:space="preserve">In Progress</w:t>
            </w:r>
          </w:p>
        </w:tc>
      </w:tr>
      <w:tr>
        <w:tc>
          <w:tcPr>
            <w:tcW w:type="dxa" w:w="11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left"/>
            </w:pPr>
            <w:r>
              <w:rPr>
                <w:rFonts w:ascii="Arial" w:cs="Arial" w:eastAsia="Arial" w:hAnsi="Arial"/>
                <w:b/>
                <w:bCs/>
                <w:color w:val="1E3A5F"/>
                <w:sz w:val="18"/>
                <w:szCs w:val="18"/>
              </w:rPr>
              <w:t xml:space="preserve">M2</w:t>
            </w:r>
          </w:p>
        </w:tc>
        <w:tc>
          <w:tcPr>
            <w:tcW w:type="dxa" w:w="21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left"/>
            </w:pPr>
            <w:r>
              <w:rPr>
                <w:rFonts w:ascii="Arial" w:cs="Arial" w:eastAsia="Arial" w:hAnsi="Arial"/>
                <w:b/>
                <w:bCs/>
                <w:color w:val="1A1A2E"/>
                <w:sz w:val="18"/>
                <w:szCs w:val="18"/>
              </w:rPr>
              <w:t xml:space="preserve">API Layer</w:t>
            </w:r>
          </w:p>
        </w:tc>
        <w:tc>
          <w:tcPr>
            <w:tcW w:type="dxa" w:w="49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left"/>
            </w:pPr>
            <w:r>
              <w:rPr>
                <w:rFonts w:ascii="Arial" w:cs="Arial" w:eastAsia="Arial" w:hAnsi="Arial"/>
                <w:b w:val="false"/>
                <w:bCs w:val="false"/>
                <w:color w:val="1A1A2E"/>
                <w:sz w:val="18"/>
                <w:szCs w:val="18"/>
              </w:rPr>
              <w:t xml:space="preserve">FastAPI REST endpoints: transactions, accounts, stats summary, cashflow, category breakdown, top merchants, recurring</w:t>
            </w:r>
          </w:p>
        </w:tc>
        <w:tc>
          <w:tcPr>
            <w:tcW w:type="dxa" w:w="12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center"/>
            </w:pPr>
            <w:r>
              <w:rPr>
                <w:rFonts w:ascii="Arial" w:cs="Arial" w:eastAsia="Arial" w:hAnsi="Arial"/>
                <w:b w:val="false"/>
                <w:bCs w:val="false"/>
                <w:color w:val="1A1A2E"/>
                <w:sz w:val="18"/>
                <w:szCs w:val="18"/>
              </w:rPr>
              <w:t xml:space="preserve">Planned</w:t>
            </w:r>
          </w:p>
        </w:tc>
      </w:tr>
      <w:tr>
        <w:tc>
          <w:tcPr>
            <w:tcW w:type="dxa" w:w="11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bCs/>
                <w:color w:val="1E3A5F"/>
                <w:sz w:val="18"/>
                <w:szCs w:val="18"/>
              </w:rPr>
              <w:t xml:space="preserve">M3</w:t>
            </w:r>
          </w:p>
        </w:tc>
        <w:tc>
          <w:tcPr>
            <w:tcW w:type="dxa" w:w="21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bCs/>
                <w:color w:val="1A1A2E"/>
                <w:sz w:val="18"/>
                <w:szCs w:val="18"/>
              </w:rPr>
              <w:t xml:space="preserve">React Dashboard</w:t>
            </w:r>
          </w:p>
        </w:tc>
        <w:tc>
          <w:tcPr>
            <w:tcW w:type="dxa" w:w="4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color w:val="1A1A2E"/>
                <w:sz w:val="18"/>
                <w:szCs w:val="18"/>
              </w:rPr>
              <w:t xml:space="preserve">Dashboard page, Transactions table with filters/search, Analytics page with charts, Accounts page, Docker Compose orchestration</w:t>
            </w:r>
          </w:p>
        </w:tc>
        <w:tc>
          <w:tcPr>
            <w:tcW w:type="dxa" w:w="1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center"/>
            </w:pPr>
            <w:r>
              <w:rPr>
                <w:rFonts w:ascii="Arial" w:cs="Arial" w:eastAsia="Arial" w:hAnsi="Arial"/>
                <w:b w:val="false"/>
                <w:bCs w:val="false"/>
                <w:color w:val="1A1A2E"/>
                <w:sz w:val="18"/>
                <w:szCs w:val="18"/>
              </w:rPr>
              <w:t xml:space="preserve">Planned</w:t>
            </w:r>
          </w:p>
        </w:tc>
      </w:tr>
      <w:tr>
        <w:tc>
          <w:tcPr>
            <w:tcW w:type="dxa" w:w="11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left"/>
            </w:pPr>
            <w:r>
              <w:rPr>
                <w:rFonts w:ascii="Arial" w:cs="Arial" w:eastAsia="Arial" w:hAnsi="Arial"/>
                <w:b/>
                <w:bCs/>
                <w:color w:val="1E3A5F"/>
                <w:sz w:val="18"/>
                <w:szCs w:val="18"/>
              </w:rPr>
              <w:t xml:space="preserve">M4</w:t>
            </w:r>
          </w:p>
        </w:tc>
        <w:tc>
          <w:tcPr>
            <w:tcW w:type="dxa" w:w="21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left"/>
            </w:pPr>
            <w:r>
              <w:rPr>
                <w:rFonts w:ascii="Arial" w:cs="Arial" w:eastAsia="Arial" w:hAnsi="Arial"/>
                <w:b/>
                <w:bCs/>
                <w:color w:val="1A1A2E"/>
                <w:sz w:val="18"/>
                <w:szCs w:val="18"/>
              </w:rPr>
              <w:t xml:space="preserve">Advanced Analytics</w:t>
            </w:r>
          </w:p>
        </w:tc>
        <w:tc>
          <w:tcPr>
            <w:tcW w:type="dxa" w:w="49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left"/>
            </w:pPr>
            <w:r>
              <w:rPr>
                <w:rFonts w:ascii="Arial" w:cs="Arial" w:eastAsia="Arial" w:hAnsi="Arial"/>
                <w:b w:val="false"/>
                <w:bCs w:val="false"/>
                <w:color w:val="1A1A2E"/>
                <w:sz w:val="18"/>
                <w:szCs w:val="18"/>
              </w:rPr>
              <w:t xml:space="preserve">Category rules engine + manual override, recurring detection, anomaly/spike alerts, merchant normalisation</w:t>
            </w:r>
          </w:p>
        </w:tc>
        <w:tc>
          <w:tcPr>
            <w:tcW w:type="dxa" w:w="12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pPr>
              <w:jc w:val="center"/>
            </w:pPr>
            <w:r>
              <w:rPr>
                <w:rFonts w:ascii="Arial" w:cs="Arial" w:eastAsia="Arial" w:hAnsi="Arial"/>
                <w:b w:val="false"/>
                <w:bCs w:val="false"/>
                <w:color w:val="1A1A2E"/>
                <w:sz w:val="18"/>
                <w:szCs w:val="18"/>
              </w:rPr>
              <w:t xml:space="preserve">Planned</w:t>
            </w:r>
          </w:p>
        </w:tc>
      </w:tr>
      <w:tr>
        <w:tc>
          <w:tcPr>
            <w:tcW w:type="dxa" w:w="11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bCs/>
                <w:color w:val="1E3A5F"/>
                <w:sz w:val="18"/>
                <w:szCs w:val="18"/>
              </w:rPr>
              <w:t xml:space="preserve">M5</w:t>
            </w:r>
          </w:p>
        </w:tc>
        <w:tc>
          <w:tcPr>
            <w:tcW w:type="dxa" w:w="21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bCs/>
                <w:color w:val="1A1A2E"/>
                <w:sz w:val="18"/>
                <w:szCs w:val="18"/>
              </w:rPr>
              <w:t xml:space="preserve">Statement Parsing</w:t>
            </w:r>
          </w:p>
        </w:tc>
        <w:tc>
          <w:tcPr>
            <w:tcW w:type="dxa" w:w="4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left"/>
            </w:pPr>
            <w:r>
              <w:rPr>
                <w:rFonts w:ascii="Arial" w:cs="Arial" w:eastAsia="Arial" w:hAnsi="Arial"/>
                <w:b w:val="false"/>
                <w:bCs w:val="false"/>
                <w:color w:val="1A1A2E"/>
                <w:sz w:val="18"/>
                <w:szCs w:val="18"/>
              </w:rPr>
              <w:t xml:space="preserve">PDF attachment detection, text extraction, password vault for encrypted PDFs, reconciliation logic</w:t>
            </w:r>
          </w:p>
        </w:tc>
        <w:tc>
          <w:tcPr>
            <w:tcW w:type="dxa" w:w="12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pPr>
              <w:jc w:val="center"/>
            </w:pPr>
            <w:r>
              <w:rPr>
                <w:rFonts w:ascii="Arial" w:cs="Arial" w:eastAsia="Arial" w:hAnsi="Arial"/>
                <w:b w:val="false"/>
                <w:bCs w:val="false"/>
                <w:color w:val="7A4F00"/>
                <w:sz w:val="18"/>
                <w:szCs w:val="18"/>
              </w:rPr>
              <w:t xml:space="preserve">Later</w:t>
            </w:r>
          </w:p>
        </w:tc>
      </w:tr>
    </w:tbl>
    <w:p>
      <w:pPr>
        <w:spacing w:before="200" w:after="0"/>
      </w:pPr>
    </w:p>
    <w:p>
      <w:pPr>
        <w:pStyle w:val="Heading2"/>
        <w:spacing w:before="300" w:after="100"/>
      </w:pPr>
      <w:r>
        <w:rPr>
          <w:rFonts w:ascii="Arial" w:cs="Arial" w:eastAsia="Arial" w:hAnsi="Arial"/>
          <w:b/>
          <w:bCs/>
          <w:color w:val="1E3A5F"/>
          <w:sz w:val="26"/>
          <w:szCs w:val="26"/>
        </w:rPr>
        <w:t xml:space="preserve">13.  Constraints &amp; Assumptions</w:t>
      </w:r>
    </w:p>
    <w:p>
      <w:pPr>
        <w:pBdr>
          <w:bottom w:val="single" w:color="BBCFE0" w:sz="4" w:space="1"/>
        </w:pBdr>
        <w:spacing w:before="60" w:after="60"/>
      </w:pPr>
    </w:p>
    <w:p>
      <w:pPr>
        <w:spacing w:before="80" w:after="0"/>
      </w:pPr>
    </w:p>
    <w:p>
      <w:pPr>
        <w:pStyle w:val="ListParagraph"/>
        <w:numPr>
          <w:ilvl w:val="0"/>
          <w:numId w:val="2"/>
        </w:numPr>
        <w:spacing w:before="40" w:after="40"/>
      </w:pPr>
      <w:r>
        <w:rPr>
          <w:rFonts w:ascii="Arial" w:cs="Arial" w:eastAsia="Arial" w:hAnsi="Arial"/>
          <w:b w:val="false"/>
          <w:bCs w:val="false"/>
          <w:color w:val="1A1A2E"/>
          <w:sz w:val="20"/>
          <w:szCs w:val="20"/>
        </w:rPr>
        <w:t xml:space="preserve">Gmail is the primary and only ingestion source in v1.</w:t>
      </w:r>
    </w:p>
    <w:p>
      <w:pPr>
        <w:pStyle w:val="ListParagraph"/>
        <w:numPr>
          <w:ilvl w:val="0"/>
          <w:numId w:val="2"/>
        </w:numPr>
        <w:spacing w:before="40" w:after="40"/>
      </w:pPr>
      <w:r>
        <w:rPr>
          <w:rFonts w:ascii="Arial" w:cs="Arial" w:eastAsia="Arial" w:hAnsi="Arial"/>
          <w:b w:val="false"/>
          <w:bCs w:val="false"/>
          <w:color w:val="1A1A2E"/>
          <w:sz w:val="20"/>
          <w:szCs w:val="20"/>
        </w:rPr>
        <w:t xml:space="preserve">Gmail access is and must remain read-only; the app does not send, modify, or delete emails.</w:t>
      </w:r>
    </w:p>
    <w:p>
      <w:pPr>
        <w:pStyle w:val="ListParagraph"/>
        <w:numPr>
          <w:ilvl w:val="0"/>
          <w:numId w:val="2"/>
        </w:numPr>
        <w:spacing w:before="40" w:after="40"/>
      </w:pPr>
      <w:r>
        <w:rPr>
          <w:rFonts w:ascii="Arial" w:cs="Arial" w:eastAsia="Arial" w:hAnsi="Arial"/>
          <w:b w:val="false"/>
          <w:bCs w:val="false"/>
          <w:color w:val="1A1A2E"/>
          <w:sz w:val="20"/>
          <w:szCs w:val="20"/>
        </w:rPr>
        <w:t xml:space="preserve">Email notification formats vary by institution and change without notice; the DB-driven parser system must make it easy to update rules without code changes.</w:t>
      </w:r>
    </w:p>
    <w:p>
      <w:pPr>
        <w:pStyle w:val="ListParagraph"/>
        <w:numPr>
          <w:ilvl w:val="0"/>
          <w:numId w:val="2"/>
        </w:numPr>
        <w:spacing w:before="40" w:after="40"/>
      </w:pPr>
      <w:r>
        <w:rPr>
          <w:rFonts w:ascii="Arial" w:cs="Arial" w:eastAsia="Arial" w:hAnsi="Arial"/>
          <w:b w:val="false"/>
          <w:bCs w:val="false"/>
          <w:color w:val="1A1A2E"/>
          <w:sz w:val="20"/>
          <w:szCs w:val="20"/>
        </w:rPr>
        <w:t xml:space="preserve">The system runs locally on Ubuntu Server via Docker; all data is stored on a host volume in SQLite.</w:t>
      </w:r>
    </w:p>
    <w:p>
      <w:pPr>
        <w:pStyle w:val="ListParagraph"/>
        <w:numPr>
          <w:ilvl w:val="0"/>
          <w:numId w:val="2"/>
        </w:numPr>
        <w:spacing w:before="40" w:after="40"/>
      </w:pPr>
      <w:r>
        <w:rPr>
          <w:rFonts w:ascii="Arial" w:cs="Arial" w:eastAsia="Arial" w:hAnsi="Arial"/>
          <w:b w:val="false"/>
          <w:bCs w:val="false"/>
          <w:color w:val="1A1A2E"/>
          <w:sz w:val="20"/>
          <w:szCs w:val="20"/>
        </w:rPr>
        <w:t xml:space="preserve">No transaction data leaves the machine; there are no external analytics or cloud services.</w:t>
      </w:r>
    </w:p>
    <w:p>
      <w:pPr>
        <w:pStyle w:val="ListParagraph"/>
        <w:numPr>
          <w:ilvl w:val="0"/>
          <w:numId w:val="2"/>
        </w:numPr>
        <w:spacing w:before="40" w:after="40"/>
      </w:pPr>
      <w:r>
        <w:rPr>
          <w:rFonts w:ascii="Arial" w:cs="Arial" w:eastAsia="Arial" w:hAnsi="Arial"/>
          <w:b w:val="false"/>
          <w:bCs w:val="false"/>
          <w:color w:val="1A1A2E"/>
          <w:sz w:val="20"/>
          <w:szCs w:val="20"/>
        </w:rPr>
        <w:t xml:space="preserve">The web application is strictly read-only and contains no ingestion functionality.</w:t>
      </w:r>
    </w:p>
    <w:p>
      <w:pPr>
        <w:pStyle w:val="ListParagraph"/>
        <w:numPr>
          <w:ilvl w:val="0"/>
          <w:numId w:val="2"/>
        </w:numPr>
        <w:spacing w:before="40" w:after="40"/>
      </w:pPr>
      <w:r>
        <w:rPr>
          <w:rFonts w:ascii="Arial" w:cs="Arial" w:eastAsia="Arial" w:hAnsi="Arial"/>
          <w:b w:val="false"/>
          <w:bCs w:val="false"/>
          <w:color w:val="1A1A2E"/>
          <w:sz w:val="20"/>
          <w:szCs w:val="20"/>
        </w:rPr>
        <w:t xml:space="preserve">Extraction accuracy improves iteratively as new parser and classification rows are added to the database.</w:t>
      </w:r>
    </w:p>
    <w:p>
      <w:pPr>
        <w:spacing w:before="200" w:after="0"/>
      </w:pPr>
    </w:p>
    <w:p>
      <w:pPr>
        <w:pStyle w:val="Heading2"/>
        <w:spacing w:before="300" w:after="100"/>
      </w:pPr>
      <w:r>
        <w:rPr>
          <w:rFonts w:ascii="Arial" w:cs="Arial" w:eastAsia="Arial" w:hAnsi="Arial"/>
          <w:b/>
          <w:bCs/>
          <w:color w:val="1E3A5F"/>
          <w:sz w:val="26"/>
          <w:szCs w:val="26"/>
        </w:rPr>
        <w:t xml:space="preserve">14.  Risks &amp; Mitigations</w:t>
      </w:r>
    </w:p>
    <w:p>
      <w:pPr>
        <w:pBdr>
          <w:bottom w:val="single" w:color="BBCFE0" w:sz="4" w:space="1"/>
        </w:pBdr>
        <w:spacing w:before="60" w:after="6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Risk</w:t>
            </w:r>
          </w:p>
        </w:tc>
        <w:tc>
          <w:tcPr>
            <w:tcW w:type="dxa" w:w="5960"/>
            <w:tcBorders>
              <w:top w:val="single" w:color="2E6DA4" w:sz="1"/>
              <w:left w:val="single" w:color="2E6DA4" w:sz="1"/>
              <w:bottom w:val="single" w:color="2E6DA4" w:sz="1"/>
              <w:right w:val="single" w:color="2E6DA4" w:sz="1"/>
            </w:tcBorders>
            <w:shd w:fill="2E6DA4" w:val="clear"/>
            <w:tcMar>
              <w:top w:type="dxa" w:w="90"/>
              <w:left w:type="dxa" w:w="130"/>
              <w:bottom w:type="dxa" w:w="90"/>
              <w:right w:type="dxa" w:w="130"/>
            </w:tcMar>
          </w:tcPr>
          <w:p>
            <w:r>
              <w:rPr>
                <w:rFonts w:ascii="Arial" w:cs="Arial" w:eastAsia="Arial" w:hAnsi="Arial"/>
                <w:b/>
                <w:bCs/>
                <w:color w:val="FFFFFF"/>
                <w:sz w:val="18"/>
                <w:szCs w:val="18"/>
              </w:rPr>
              <w:t xml:space="preserve">Mitigation</w:t>
            </w:r>
          </w:p>
        </w:tc>
      </w:tr>
      <w:tr>
        <w:tc>
          <w:tcPr>
            <w:tcW w:type="dxa" w:w="3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r>
              <w:rPr>
                <w:rFonts w:ascii="Arial" w:cs="Arial" w:eastAsia="Arial" w:hAnsi="Arial"/>
                <w:color w:val="1A1A2E"/>
                <w:sz w:val="18"/>
                <w:szCs w:val="18"/>
              </w:rPr>
              <w:t xml:space="preserve">Email templates change and parsers break</w:t>
            </w:r>
          </w:p>
        </w:tc>
        <w:tc>
          <w:tcPr>
            <w:tcW w:type="dxa" w:w="5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r>
              <w:rPr>
                <w:rFonts w:ascii="Arial" w:cs="Arial" w:eastAsia="Arial" w:hAnsi="Arial"/>
                <w:color w:val="1A1A2E"/>
                <w:sz w:val="18"/>
                <w:szCs w:val="18"/>
              </w:rPr>
              <w:t xml:space="preserve">DB-driven parsers: update a table row to fix, no code change needed. Unparsed queue captures everything that fails so nothing is silently lost.</w:t>
            </w:r>
          </w:p>
        </w:tc>
      </w:tr>
      <w:tr>
        <w:tc>
          <w:tcPr>
            <w:tcW w:type="dxa" w:w="34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r>
              <w:rPr>
                <w:rFonts w:ascii="Arial" w:cs="Arial" w:eastAsia="Arial" w:hAnsi="Arial"/>
                <w:color w:val="1A1A2E"/>
                <w:sz w:val="18"/>
                <w:szCs w:val="18"/>
              </w:rPr>
              <w:t xml:space="preserve">Duplicate transactions from overlapping email sources</w:t>
            </w:r>
          </w:p>
        </w:tc>
        <w:tc>
          <w:tcPr>
            <w:tcW w:type="dxa" w:w="59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r>
              <w:rPr>
                <w:rFonts w:ascii="Arial" w:cs="Arial" w:eastAsia="Arial" w:hAnsi="Arial"/>
                <w:color w:val="1A1A2E"/>
                <w:sz w:val="18"/>
                <w:szCs w:val="18"/>
              </w:rPr>
              <w:t xml:space="preserve">Three-layer deduplication: Gmail message ID → (provider, txn_id) pair → signature hash with tolerance.</w:t>
            </w:r>
          </w:p>
        </w:tc>
      </w:tr>
      <w:tr>
        <w:tc>
          <w:tcPr>
            <w:tcW w:type="dxa" w:w="3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r>
              <w:rPr>
                <w:rFonts w:ascii="Arial" w:cs="Arial" w:eastAsia="Arial" w:hAnsi="Arial"/>
                <w:color w:val="1A1A2E"/>
                <w:sz w:val="18"/>
                <w:szCs w:val="18"/>
              </w:rPr>
              <w:t xml:space="preserve">Incorrect auto-categorisation in the dashboard</w:t>
            </w:r>
          </w:p>
        </w:tc>
        <w:tc>
          <w:tcPr>
            <w:tcW w:type="dxa" w:w="5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r>
              <w:rPr>
                <w:rFonts w:ascii="Arial" w:cs="Arial" w:eastAsia="Arial" w:hAnsi="Arial"/>
                <w:color w:val="1A1A2E"/>
                <w:sz w:val="18"/>
                <w:szCs w:val="18"/>
              </w:rPr>
              <w:t xml:space="preserve">Category rules engine with manual override; overrides stored as persistent rules that improve classification over time.</w:t>
            </w:r>
          </w:p>
        </w:tc>
      </w:tr>
      <w:tr>
        <w:tc>
          <w:tcPr>
            <w:tcW w:type="dxa" w:w="340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r>
              <w:rPr>
                <w:rFonts w:ascii="Arial" w:cs="Arial" w:eastAsia="Arial" w:hAnsi="Arial"/>
                <w:color w:val="1A1A2E"/>
                <w:sz w:val="18"/>
                <w:szCs w:val="18"/>
              </w:rPr>
              <w:t xml:space="preserve">SQLite corruption on unclean shutdown</w:t>
            </w:r>
          </w:p>
        </w:tc>
        <w:tc>
          <w:tcPr>
            <w:tcW w:type="dxa" w:w="5960"/>
            <w:tcBorders>
              <w:top w:val="single" w:color="BBCFE0" w:sz="1"/>
              <w:left w:val="single" w:color="BBCFE0" w:sz="1"/>
              <w:bottom w:val="single" w:color="BBCFE0" w:sz="1"/>
              <w:right w:val="single" w:color="BBCFE0" w:sz="1"/>
            </w:tcBorders>
            <w:shd w:fill="EBF2FA" w:val="clear"/>
            <w:tcMar>
              <w:top w:type="dxa" w:w="90"/>
              <w:left w:type="dxa" w:w="130"/>
              <w:bottom w:type="dxa" w:w="90"/>
              <w:right w:type="dxa" w:w="130"/>
            </w:tcMar>
            <w:vAlign w:val="top"/>
          </w:tcPr>
          <w:p>
            <w:r>
              <w:rPr>
                <w:rFonts w:ascii="Arial" w:cs="Arial" w:eastAsia="Arial" w:hAnsi="Arial"/>
                <w:color w:val="1A1A2E"/>
                <w:sz w:val="18"/>
                <w:szCs w:val="18"/>
              </w:rPr>
              <w:t xml:space="preserve">WAL mode enabled. Host-volume persistence. Documented backup/restore. Safe re-run (idempotent ingestion).</w:t>
            </w:r>
          </w:p>
        </w:tc>
      </w:tr>
      <w:tr>
        <w:tc>
          <w:tcPr>
            <w:tcW w:type="dxa" w:w="340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r>
              <w:rPr>
                <w:rFonts w:ascii="Arial" w:cs="Arial" w:eastAsia="Arial" w:hAnsi="Arial"/>
                <w:color w:val="1A1A2E"/>
                <w:sz w:val="18"/>
                <w:szCs w:val="18"/>
              </w:rPr>
              <w:t xml:space="preserve">Gmail API rate limits or transient errors</w:t>
            </w:r>
          </w:p>
        </w:tc>
        <w:tc>
          <w:tcPr>
            <w:tcW w:type="dxa" w:w="5960"/>
            <w:tcBorders>
              <w:top w:val="single" w:color="BBCFE0" w:sz="1"/>
              <w:left w:val="single" w:color="BBCFE0" w:sz="1"/>
              <w:bottom w:val="single" w:color="BBCFE0" w:sz="1"/>
              <w:right w:val="single" w:color="BBCFE0" w:sz="1"/>
            </w:tcBorders>
            <w:shd w:fill="FFFFFF" w:val="clear"/>
            <w:tcMar>
              <w:top w:type="dxa" w:w="90"/>
              <w:left w:type="dxa" w:w="130"/>
              <w:bottom w:type="dxa" w:w="90"/>
              <w:right w:type="dxa" w:w="130"/>
            </w:tcMar>
            <w:vAlign w:val="top"/>
          </w:tcPr>
          <w:p>
            <w:r>
              <w:rPr>
                <w:rFonts w:ascii="Arial" w:cs="Arial" w:eastAsia="Arial" w:hAnsi="Arial"/>
                <w:color w:val="1A1A2E"/>
                <w:sz w:val="18"/>
                <w:szCs w:val="18"/>
              </w:rPr>
              <w:t xml:space="preserve">Exponential backoff and retry on API errors. Cursor-based incremental sync avoids re-fetching large volumes unnecessarily.</w:t>
            </w:r>
          </w:p>
        </w:tc>
      </w:tr>
    </w:tbl>
    <w:p>
      <w:pPr>
        <w:spacing w:before="200" w:after="0"/>
      </w:pPr>
    </w:p>
    <w:p>
      <w:pPr>
        <w:pStyle w:val="Heading2"/>
        <w:spacing w:before="300" w:after="100"/>
      </w:pPr>
      <w:r>
        <w:rPr>
          <w:rFonts w:ascii="Arial" w:cs="Arial" w:eastAsia="Arial" w:hAnsi="Arial"/>
          <w:b/>
          <w:bCs/>
          <w:color w:val="1E3A5F"/>
          <w:sz w:val="26"/>
          <w:szCs w:val="26"/>
        </w:rPr>
        <w:t xml:space="preserve">15.  Acceptance Criteria</w:t>
      </w:r>
    </w:p>
    <w:p>
      <w:pPr>
        <w:pBdr>
          <w:bottom w:val="single" w:color="BBCFE0" w:sz="4" w:space="1"/>
        </w:pBdr>
        <w:spacing w:before="60" w:after="60"/>
      </w:pPr>
    </w:p>
    <w:p>
      <w:pPr>
        <w:spacing w:before="80" w:after="0"/>
      </w:pPr>
    </w:p>
    <w:p>
      <w:pPr>
        <w:spacing w:before="60" w:after="60"/>
      </w:pPr>
      <w:r>
        <w:rPr>
          <w:rFonts w:ascii="Arial" w:cs="Arial" w:eastAsia="Arial" w:hAnsi="Arial"/>
          <w:color w:val="1A1A2E"/>
          <w:sz w:val="20"/>
          <w:szCs w:val="20"/>
        </w:rPr>
        <w:t xml:space="preserve">The project is successfully delivered when all of the following are true:</w:t>
      </w:r>
    </w:p>
    <w:p>
      <w:pPr>
        <w:spacing w:before="60" w:after="0"/>
      </w:pPr>
    </w:p>
    <w:p>
      <w:pPr>
        <w:pStyle w:val="Heading3"/>
        <w:spacing w:before="200" w:after="60"/>
      </w:pPr>
      <w:r>
        <w:rPr>
          <w:rFonts w:ascii="Arial" w:cs="Arial" w:eastAsia="Arial" w:hAnsi="Arial"/>
          <w:b/>
          <w:bCs/>
          <w:color w:val="2E6DA4"/>
          <w:sz w:val="22"/>
          <w:szCs w:val="22"/>
        </w:rPr>
        <w:t xml:space="preserve">CLI</w:t>
      </w:r>
    </w:p>
    <w:p>
      <w:pPr>
        <w:pStyle w:val="ListParagraph"/>
        <w:numPr>
          <w:ilvl w:val="0"/>
          <w:numId w:val="2"/>
        </w:numPr>
        <w:spacing w:before="40" w:after="40"/>
      </w:pPr>
      <w:r>
        <w:rPr>
          <w:rFonts w:ascii="Arial" w:cs="Arial" w:eastAsia="Arial" w:hAnsi="Arial"/>
          <w:b w:val="false"/>
          <w:bCs w:val="false"/>
          <w:color w:val="1A1A2E"/>
          <w:sz w:val="20"/>
          <w:szCs w:val="20"/>
        </w:rPr>
        <w:t xml:space="preserve">ingest runs one-shot from a stored cursor and updates the ledger correctly.</w:t>
      </w:r>
    </w:p>
    <w:p>
      <w:pPr>
        <w:pStyle w:val="ListParagraph"/>
        <w:numPr>
          <w:ilvl w:val="0"/>
          <w:numId w:val="2"/>
        </w:numPr>
        <w:spacing w:before="40" w:after="40"/>
      </w:pPr>
      <w:r>
        <w:rPr>
          <w:rFonts w:ascii="Arial" w:cs="Arial" w:eastAsia="Arial" w:hAnsi="Arial"/>
          <w:b w:val="false"/>
          <w:bCs w:val="false"/>
          <w:color w:val="1A1A2E"/>
          <w:sz w:val="20"/>
          <w:szCs w:val="20"/>
        </w:rPr>
        <w:t xml:space="preserve">poll mode runs continuously and processes new emails as they arrive.</w:t>
      </w:r>
    </w:p>
    <w:p>
      <w:pPr>
        <w:pStyle w:val="ListParagraph"/>
        <w:numPr>
          <w:ilvl w:val="0"/>
          <w:numId w:val="2"/>
        </w:numPr>
        <w:spacing w:before="40" w:after="40"/>
      </w:pPr>
      <w:r>
        <w:rPr>
          <w:rFonts w:ascii="Arial" w:cs="Arial" w:eastAsia="Arial" w:hAnsi="Arial"/>
          <w:b w:val="false"/>
          <w:bCs w:val="false"/>
          <w:color w:val="1A1A2E"/>
          <w:sz w:val="20"/>
          <w:szCs w:val="20"/>
        </w:rPr>
        <w:t xml:space="preserve">All ingest run modes work as specified: (none), --once [N], --poll, --force. Source flags --mail, --unparsed, and --offline are mutually exclusive and apply to (none), --once, and --force only.</w:t>
      </w:r>
    </w:p>
    <w:p>
      <w:pPr>
        <w:pStyle w:val="ListParagraph"/>
        <w:numPr>
          <w:ilvl w:val="0"/>
          <w:numId w:val="2"/>
        </w:numPr>
        <w:spacing w:before="40" w:after="40"/>
      </w:pPr>
      <w:r>
        <w:rPr>
          <w:rFonts w:ascii="Arial" w:cs="Arial" w:eastAsia="Arial" w:hAnsi="Arial"/>
          <w:b w:val="false"/>
          <w:bCs w:val="false"/>
          <w:color w:val="1A1A2E"/>
          <w:sz w:val="20"/>
          <w:szCs w:val="20"/>
        </w:rPr>
        <w:t xml:space="preserve">Transactions from common bank/card/UPI sources are stored in SQLite with correct deduplication.</w:t>
      </w:r>
    </w:p>
    <w:p>
      <w:pPr>
        <w:pStyle w:val="ListParagraph"/>
        <w:numPr>
          <w:ilvl w:val="0"/>
          <w:numId w:val="2"/>
        </w:numPr>
        <w:spacing w:before="40" w:after="40"/>
      </w:pPr>
      <w:r>
        <w:rPr>
          <w:rFonts w:ascii="Arial" w:cs="Arial" w:eastAsia="Arial" w:hAnsi="Arial"/>
          <w:b w:val="false"/>
          <w:bCs w:val="false"/>
          <w:color w:val="1A1A2E"/>
          <w:sz w:val="20"/>
          <w:szCs w:val="20"/>
        </w:rPr>
        <w:t xml:space="preserve">Messages that fail to parse are stored in the unparsed queue with a reason code.</w:t>
      </w:r>
    </w:p>
    <w:p>
      <w:pPr>
        <w:pStyle w:val="ListParagraph"/>
        <w:numPr>
          <w:ilvl w:val="0"/>
          <w:numId w:val="2"/>
        </w:numPr>
        <w:spacing w:before="40" w:after="40"/>
      </w:pPr>
      <w:r>
        <w:rPr>
          <w:rFonts w:ascii="Arial" w:cs="Arial" w:eastAsia="Arial" w:hAnsi="Arial"/>
          <w:b w:val="false"/>
          <w:bCs w:val="false"/>
          <w:color w:val="1A1A2E"/>
          <w:sz w:val="20"/>
          <w:szCs w:val="20"/>
        </w:rPr>
        <w:t xml:space="preserve">export produces a valid CSV for a given date range.</w:t>
      </w:r>
    </w:p>
    <w:p>
      <w:pPr>
        <w:pStyle w:val="ListParagraph"/>
        <w:numPr>
          <w:ilvl w:val="0"/>
          <w:numId w:val="2"/>
        </w:numPr>
        <w:spacing w:before="40" w:after="40"/>
      </w:pPr>
      <w:r>
        <w:rPr>
          <w:rFonts w:ascii="Arial" w:cs="Arial" w:eastAsia="Arial" w:hAnsi="Arial"/>
          <w:b w:val="false"/>
          <w:bCs w:val="false"/>
          <w:color w:val="1A1A2E"/>
          <w:sz w:val="20"/>
          <w:szCs w:val="20"/>
        </w:rPr>
        <w:t xml:space="preserve">stats prints correct monthly debit/credit/net totals to the terminal.</w:t>
      </w:r>
    </w:p>
    <w:p>
      <w:pPr>
        <w:spacing w:before="80" w:after="0"/>
      </w:pPr>
    </w:p>
    <w:p>
      <w:pPr>
        <w:pStyle w:val="Heading3"/>
        <w:spacing w:before="200" w:after="60"/>
      </w:pPr>
      <w:r>
        <w:rPr>
          <w:rFonts w:ascii="Arial" w:cs="Arial" w:eastAsia="Arial" w:hAnsi="Arial"/>
          <w:b/>
          <w:bCs/>
          <w:color w:val="2E6DA4"/>
          <w:sz w:val="22"/>
          <w:szCs w:val="22"/>
        </w:rPr>
        <w:t xml:space="preserve">Web Dashboard</w:t>
      </w:r>
    </w:p>
    <w:p>
      <w:pPr>
        <w:pStyle w:val="ListParagraph"/>
        <w:numPr>
          <w:ilvl w:val="0"/>
          <w:numId w:val="2"/>
        </w:numPr>
        <w:spacing w:before="40" w:after="40"/>
      </w:pPr>
      <w:r>
        <w:rPr>
          <w:rFonts w:ascii="Arial" w:cs="Arial" w:eastAsia="Arial" w:hAnsi="Arial"/>
          <w:b w:val="false"/>
          <w:bCs w:val="false"/>
          <w:color w:val="1A1A2E"/>
          <w:sz w:val="20"/>
          <w:szCs w:val="20"/>
        </w:rPr>
        <w:t xml:space="preserve">Dashboard page displays correct monthly KPIs and a cashflow chart.</w:t>
      </w:r>
    </w:p>
    <w:p>
      <w:pPr>
        <w:pStyle w:val="ListParagraph"/>
        <w:numPr>
          <w:ilvl w:val="0"/>
          <w:numId w:val="2"/>
        </w:numPr>
        <w:spacing w:before="40" w:after="40"/>
      </w:pPr>
      <w:r>
        <w:rPr>
          <w:rFonts w:ascii="Arial" w:cs="Arial" w:eastAsia="Arial" w:hAnsi="Arial"/>
          <w:b w:val="false"/>
          <w:bCs w:val="false"/>
          <w:color w:val="1A1A2E"/>
          <w:sz w:val="20"/>
          <w:szCs w:val="20"/>
        </w:rPr>
        <w:t xml:space="preserve">Transactions page shows a filterable, searchable, paginated table of all transactions.</w:t>
      </w:r>
    </w:p>
    <w:p>
      <w:pPr>
        <w:pStyle w:val="ListParagraph"/>
        <w:numPr>
          <w:ilvl w:val="0"/>
          <w:numId w:val="2"/>
        </w:numPr>
        <w:spacing w:before="40" w:after="40"/>
      </w:pPr>
      <w:r>
        <w:rPr>
          <w:rFonts w:ascii="Arial" w:cs="Arial" w:eastAsia="Arial" w:hAnsi="Arial"/>
          <w:b w:val="false"/>
          <w:bCs w:val="false"/>
          <w:color w:val="1A1A2E"/>
          <w:sz w:val="20"/>
          <w:szCs w:val="20"/>
        </w:rPr>
        <w:t xml:space="preserve">Analytics page shows at minimum: spending by category, monthly income vs expense, and top merchants.</w:t>
      </w:r>
    </w:p>
    <w:p>
      <w:pPr>
        <w:pStyle w:val="ListParagraph"/>
        <w:numPr>
          <w:ilvl w:val="0"/>
          <w:numId w:val="2"/>
        </w:numPr>
        <w:spacing w:before="40" w:after="40"/>
      </w:pPr>
      <w:r>
        <w:rPr>
          <w:rFonts w:ascii="Arial" w:cs="Arial" w:eastAsia="Arial" w:hAnsi="Arial"/>
          <w:b w:val="false"/>
          <w:bCs w:val="false"/>
          <w:color w:val="1A1A2E"/>
          <w:sz w:val="20"/>
          <w:szCs w:val="20"/>
        </w:rPr>
        <w:t xml:space="preserve">Accounts page shows per-source activity.</w:t>
      </w:r>
    </w:p>
    <w:p>
      <w:pPr>
        <w:pStyle w:val="ListParagraph"/>
        <w:numPr>
          <w:ilvl w:val="0"/>
          <w:numId w:val="2"/>
        </w:numPr>
        <w:spacing w:before="40" w:after="40"/>
      </w:pPr>
      <w:r>
        <w:rPr>
          <w:rFonts w:ascii="Arial" w:cs="Arial" w:eastAsia="Arial" w:hAnsi="Arial"/>
          <w:b w:val="false"/>
          <w:bCs w:val="false"/>
          <w:color w:val="1A1A2E"/>
          <w:sz w:val="20"/>
          <w:szCs w:val="20"/>
        </w:rPr>
        <w:t xml:space="preserve">All data in the dashboard is sourced exclusively from the FastAPI backend (no direct DB access from the frontend).</w:t>
      </w:r>
    </w:p>
    <w:p>
      <w:pPr>
        <w:spacing w:before="80" w:after="0"/>
      </w:pPr>
    </w:p>
    <w:p>
      <w:pPr>
        <w:pStyle w:val="Heading3"/>
        <w:spacing w:before="200" w:after="60"/>
      </w:pPr>
      <w:r>
        <w:rPr>
          <w:rFonts w:ascii="Arial" w:cs="Arial" w:eastAsia="Arial" w:hAnsi="Arial"/>
          <w:b/>
          <w:bCs/>
          <w:color w:val="2E6DA4"/>
          <w:sz w:val="22"/>
          <w:szCs w:val="22"/>
        </w:rPr>
        <w:t xml:space="preserve">System</w:t>
      </w:r>
    </w:p>
    <w:p>
      <w:pPr>
        <w:pStyle w:val="ListParagraph"/>
        <w:numPr>
          <w:ilvl w:val="0"/>
          <w:numId w:val="2"/>
        </w:numPr>
        <w:spacing w:before="40" w:after="40"/>
      </w:pPr>
      <w:r>
        <w:rPr>
          <w:rFonts w:ascii="Arial" w:cs="Arial" w:eastAsia="Arial" w:hAnsi="Arial"/>
          <w:b w:val="false"/>
          <w:bCs w:val="false"/>
          <w:color w:val="1A1A2E"/>
          <w:sz w:val="20"/>
          <w:szCs w:val="20"/>
        </w:rPr>
        <w:t xml:space="preserve">Runs end-to-end via docker compose up on Ubuntu Server.</w:t>
      </w:r>
    </w:p>
    <w:p>
      <w:pPr>
        <w:pStyle w:val="ListParagraph"/>
        <w:numPr>
          <w:ilvl w:val="0"/>
          <w:numId w:val="2"/>
        </w:numPr>
        <w:spacing w:before="40" w:after="40"/>
      </w:pPr>
      <w:r>
        <w:rPr>
          <w:rFonts w:ascii="Arial" w:cs="Arial" w:eastAsia="Arial" w:hAnsi="Arial"/>
          <w:b w:val="false"/>
          <w:bCs w:val="false"/>
          <w:color w:val="1A1A2E"/>
          <w:sz w:val="20"/>
          <w:szCs w:val="20"/>
        </w:rPr>
        <w:t xml:space="preserve">All sensitive fields (account numbers, UTR IDs) are masked in logs.</w:t>
      </w:r>
    </w:p>
    <w:p>
      <w:pPr>
        <w:pStyle w:val="ListParagraph"/>
        <w:numPr>
          <w:ilvl w:val="0"/>
          <w:numId w:val="2"/>
        </w:numPr>
        <w:spacing w:before="40" w:after="40"/>
      </w:pPr>
      <w:r>
        <w:rPr>
          <w:rFonts w:ascii="Arial" w:cs="Arial" w:eastAsia="Arial" w:hAnsi="Arial"/>
          <w:b w:val="false"/>
          <w:bCs w:val="false"/>
          <w:color w:val="1A1A2E"/>
          <w:sz w:val="20"/>
          <w:szCs w:val="20"/>
        </w:rPr>
        <w:t xml:space="preserve">Gmail access remains read-only throughout.</w:t>
      </w:r>
    </w:p>
    <w:p>
      <w:pPr>
        <w:spacing w:before="240" w:after="0"/>
      </w:pPr>
    </w:p>
    <w:p>
      <w:pPr>
        <w:pBdr>
          <w:bottom w:val="single" w:color="2E6DA4" w:sz="4" w:space="1"/>
        </w:pBdr>
        <w:spacing w:before="60" w:after="60"/>
      </w:pPr>
    </w:p>
    <w:p>
      <w:pPr>
        <w:spacing w:before="60" w:after="0"/>
      </w:pPr>
    </w:p>
    <w:p>
      <w:pPr>
        <w:jc w:val="center"/>
      </w:pPr>
      <w:r>
        <w:rPr>
          <w:rFonts w:ascii="Arial" w:cs="Arial" w:eastAsia="Arial" w:hAnsi="Arial"/>
          <w:i/>
          <w:iCs/>
          <w:color w:val="5A6A7A"/>
          <w:sz w:val="16"/>
          <w:szCs w:val="16"/>
        </w:rPr>
        <w:t xml:space="preserve">Finance Tracker  •  Project Brief v2.0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0" w:sz="4" w:space="1"/>
      </w:pBdr>
      <w:tabs>
        <w:tab w:val="right" w:pos="9026"/>
      </w:tabs>
      <w:spacing w:before="100" w:after="0"/>
    </w:pPr>
    <w:r>
      <w:rPr>
        <w:rFonts w:ascii="Arial" w:cs="Arial" w:eastAsia="Arial" w:hAnsi="Arial"/>
        <w:color w:val="5A6A7A"/>
        <w:sz w:val="16"/>
        <w:szCs w:val="16"/>
      </w:rPr>
      <w:t xml:space="preserve">Personal Use — Confidential</w:t>
    </w:r>
    <w:r>
      <w:rPr>
        <w:rFonts w:ascii="Arial" w:cs="Arial" w:eastAsia="Arial" w:hAnsi="Arial"/>
        <w:color w:val="5A6A7A"/>
        <w:sz w:val="16"/>
        <w:szCs w:val="16"/>
      </w:rPr>
      <w:t xml:space="preserve">	Page </w:t>
    </w:r>
    <w:r>
      <w:rPr>
        <w:rFonts w:ascii="Arial" w:cs="Arial" w:eastAsia="Arial" w:hAnsi="Arial"/>
        <w:color w:val="5A6A7A"/>
        <w:sz w:val="16"/>
        <w:szCs w:val="16"/>
      </w:rPr>
      <w:fldChar w:fldCharType="begin"/>
      <w:instrText xml:space="preserve">PAGE</w:instrText>
      <w:fldChar w:fldCharType="separate"/>
      <w:fldChar w:fldCharType="end"/>
    </w:r>
    <w:r>
      <w:rPr>
        <w:rFonts w:ascii="Arial" w:cs="Arial" w:eastAsia="Arial" w:hAnsi="Arial"/>
        <w:color w:val="5A6A7A"/>
        <w:sz w:val="16"/>
        <w:szCs w:val="16"/>
      </w:rPr>
      <w:t xml:space="preserve"> of </w:t>
    </w:r>
    <w:r>
      <w:rPr>
        <w:rFonts w:ascii="Arial" w:cs="Arial" w:eastAsia="Arial" w:hAnsi="Arial"/>
        <w:color w:val="5A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FE0" w:sz="4" w:space="1"/>
      </w:pBdr>
      <w:tabs>
        <w:tab w:val="right" w:pos="9026"/>
      </w:tabs>
      <w:spacing w:before="0" w:after="100"/>
    </w:pPr>
    <w:r>
      <w:rPr>
        <w:rFonts w:ascii="Arial" w:cs="Arial" w:eastAsia="Arial" w:hAnsi="Arial"/>
        <w:b/>
        <w:bCs/>
        <w:color w:val="1E3A5F"/>
        <w:sz w:val="18"/>
        <w:szCs w:val="18"/>
      </w:rPr>
      <w:t xml:space="preserve">Finance Tracker</w:t>
    </w:r>
    <w:r>
      <w:rPr>
        <w:rFonts w:ascii="Arial" w:cs="Arial" w:eastAsia="Arial" w:hAnsi="Arial"/>
        <w:color w:val="5A6A7A"/>
        <w:sz w:val="18"/>
        <w:szCs w:val="18"/>
      </w:rPr>
      <w:t xml:space="preserve">	Project Brief  •  v2.0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00"/>
      <w:outlineLvl w:val="0"/>
    </w:pPr>
    <w:rPr>
      <w:rFonts w:ascii="Arial" w:cs="Arial" w:eastAsia="Arial" w:hAnsi="Arial"/>
      <w:b/>
      <w:bCs/>
      <w:color w:val="FFFFFF"/>
      <w:sz w:val="48"/>
      <w:szCs w:val="48"/>
    </w:rPr>
  </w:style>
  <w:style w:type="paragraph" w:styleId="Heading2">
    <w:name w:val="Heading 2"/>
    <w:basedOn w:val="Normal"/>
    <w:next w:val="Normal"/>
    <w:qFormat/>
    <w:pPr>
      <w:spacing w:before="30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2026-03-21T23:44:11.696Z</dcterms:created>
  <dcterms:modified xsi:type="dcterms:W3CDTF">2026-03-21T23:44:11.696Z</dcterms:modified>
</cp:coreProperties>
</file>

<file path=docProps/custom.xml><?xml version="1.0" encoding="utf-8"?>
<Properties xmlns="http://schemas.openxmlformats.org/officeDocument/2006/custom-properties" xmlns:vt="http://schemas.openxmlformats.org/officeDocument/2006/docPropsVTypes"/>
</file>