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3C1478"/>
          <w:sz w:val="52"/>
          <w:szCs w:val="52"/>
        </w:rPr>
        <w:t xml:space="preserve">Large Table Models (LTMs)</w:t>
      </w:r>
    </w:p>
    <w:p>
      <w:pPr>
        <w:spacing w:after="0" w:before="40"/>
      </w:pPr>
      <w:r>
        <w:rPr>
          <w:color w:val="5B21B6"/>
          <w:sz w:val="26"/>
          <w:szCs w:val="26"/>
        </w:rPr>
        <w:t xml:space="preserve">Tabular &amp; Relational Foundation Models — and how they compare to NVIDIA Merlin</w:t>
      </w:r>
    </w:p>
    <w:p>
      <w:pPr>
        <w:spacing w:after="0" w:before="120"/>
      </w:pPr>
      <w:r>
        <w:rPr>
          <w:i/>
          <w:iCs/>
          <w:color w:val="555555"/>
          <w:sz w:val="20"/>
          <w:szCs w:val="20"/>
        </w:rPr>
        <w:t xml:space="preserve">What they are  ·  where they can be leveraged  ·  pros &amp; cons vs Merlin  ·  what it means for a publisher like Dow Jones</w:t>
      </w:r>
    </w:p>
    <w:p>
      <w:pPr>
        <w:pBdr>
          <w:bottom w:val="single" w:color="5B21B6" w:sz="12" w:space="6"/>
        </w:pBdr>
        <w:spacing w:after="60" w:before="160"/>
      </w:pPr>
      <w:r>
        <w:rPr>
          <w:b/>
          <w:bCs/>
          <w:color w:val="3C1478"/>
          <w:sz w:val="22"/>
          <w:szCs w:val="22"/>
        </w:rPr>
        <w:t xml:space="preserve">Research briefing</w:t>
      </w:r>
    </w:p>
    <w:p>
      <w:pPr>
        <w:spacing w:after="0"/>
      </w:pPr>
      <w:r>
        <w:rPr>
          <w:color w:val="555555"/>
          <w:sz w:val="20"/>
          <w:szCs w:val="20"/>
        </w:rPr>
        <w:t xml:space="preserve">Prepared 27 June 2026</w:t>
      </w:r>
    </w:p>
    <w:p>
      <w:pPr>
        <w:spacing w:after="200"/>
      </w:pPr>
      <w:r>
        <w:rPr>
          <w:color w:val="555555"/>
          <w:sz w:val="20"/>
          <w:szCs w:val="20"/>
        </w:rPr>
        <w:t xml:space="preserve">Companion to the NVIDIA Merlin research briefing and the Recommender-on-Vertex-AI briefing. Grounded in primary papers, vendor documentation and independent commentary (see References). Vendor performance figures are flagged as such.</w:t>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color w:val="1A1A1A"/>
        </w:rPr>
        <w:t xml:space="preserve">“Large Table Models” (LTMs) — more precisely Tabular Foundation Models (TFMs), and their relational cousins — are a genuinely new class of AI model that arrived in force in 2024–2026. They do for spreadsheets and database tables what large language models did for text: a single model is pre-trained once, then makes predictions on a brand-new table in one forward pass, with no per-dataset training. The flagship is TabPFN (Prior Labs), whose v2 was published in Nature in 2025; the paradigm is called a prior-data fitted network doing in-context learning.</w:t>
      </w:r>
    </w:p>
    <w:p>
      <w:pPr>
        <w:spacing w:after="140" w:line="276"/>
      </w:pPr>
      <w:r>
        <w:rPr>
          <w:color w:val="1A1A1A"/>
        </w:rPr>
        <w:t xml:space="preserve">This matters to anyone evaluating Merlin because both technologies live on the same raw material — large, wide, high-cardinality tabular data. But they solve different problems. Merlin is a GPU pipeline for building and serving your own large-scale deep recommenders (retrieval + ranking, served in milliseconds). An LTM is a pre-trained, general-purpose predictor for supervised tabular tasks (classification and regression) that you point at a table and query immediately. In most of the org they are complements, not competitors.</w:t>
      </w:r>
    </w:p>
    <w:p>
      <w:pPr>
        <w:pStyle w:val="ListParagraph"/>
        <w:numPr>
          <w:ilvl w:val="0"/>
          <w:numId w:val="2"/>
        </w:numPr>
        <w:spacing w:after="70" w:line="268"/>
      </w:pPr>
      <w:r>
        <w:rPr>
          <w:b/>
          <w:bCs/>
          <w:color w:val="1A1A1A"/>
        </w:rPr>
        <w:t xml:space="preserve">The exception — and the most important thing to understand — is the relational foundation model. </w:t>
      </w:r>
      <w:r>
        <w:rPr>
          <w:color w:val="1A1A1A"/>
        </w:rPr>
        <w:t xml:space="preserve">KumoRFM (Kumo.ai, launched May 2025) extends the in-context idea from a single flat table to a whole relational database and explicitly handles link prediction — i.e. recommendation — zero-shot. This is the one place an LTM directly overlaps Merlin’s core territory, and it is moving fast.</w:t>
      </w:r>
    </w:p>
    <w:p>
      <w:pPr>
        <w:pStyle w:val="ListParagraph"/>
        <w:numPr>
          <w:ilvl w:val="0"/>
          <w:numId w:val="2"/>
        </w:numPr>
        <w:spacing w:after="70" w:line="268"/>
      </w:pPr>
      <w:r>
        <w:rPr>
          <w:b/>
          <w:bCs/>
          <w:color w:val="1A1A1A"/>
        </w:rPr>
        <w:t xml:space="preserve">Where LTMs clearly win today: </w:t>
      </w:r>
      <w:r>
        <w:rPr>
          <w:color w:val="1A1A1A"/>
        </w:rPr>
        <w:t xml:space="preserve">fast, high-accuracy predictions on small-to-medium structured problems with little or no ML engineering — churn propensity, subscriber lifetime-value, lead scoring, content/audience segmentation, rapid prototyping, and “cold-start” modelling before you have enough data to train a custom model.</w:t>
      </w:r>
    </w:p>
    <w:p>
      <w:pPr>
        <w:pStyle w:val="ListParagraph"/>
        <w:numPr>
          <w:ilvl w:val="0"/>
          <w:numId w:val="2"/>
        </w:numPr>
        <w:spacing w:after="70" w:line="268"/>
      </w:pPr>
      <w:r>
        <w:rPr>
          <w:b/>
          <w:bCs/>
          <w:color w:val="1A1A1A"/>
        </w:rPr>
        <w:t xml:space="preserve">Where Merlin still wins: </w:t>
      </w:r>
      <w:r>
        <w:rPr>
          <w:color w:val="1A1A1A"/>
        </w:rPr>
        <w:t xml:space="preserve">internet-scale recommendation — hundreds of millions of interactions, terabyte embedding tables, and real-time serving that must score millions of candidate items per second under tight latency. LTMs are not built for that throughput; their published ceilings are thousands-to-low-millions of rows, not live web-scale serving.</w:t>
      </w:r>
    </w:p>
    <w:p>
      <w:pPr>
        <w:pStyle w:val="ListParagraph"/>
        <w:numPr>
          <w:ilvl w:val="0"/>
          <w:numId w:val="2"/>
        </w:numPr>
        <w:spacing w:after="70" w:line="268"/>
      </w:pPr>
      <w:r>
        <w:rPr>
          <w:b/>
          <w:bCs/>
          <w:color w:val="1A1A1A"/>
        </w:rPr>
        <w:t xml:space="preserve">The honest caveats: </w:t>
      </w:r>
      <w:r>
        <w:rPr>
          <w:color w:val="1A1A1A"/>
        </w:rPr>
        <w:t xml:space="preserve">the field re-sets its state-of-the-art almost monthly; benchmarks are often run by the model authors; and the strongest commercial variants (e.g. RealTabPFN) ship under non-commercial licences. Treat any single ranking as provisional and budget for a fast-moving target.</w:t>
      </w:r>
    </w:p>
    <w:p>
      <w:pPr>
        <w:pStyle w:val="Heading1"/>
      </w:pPr>
      <w:r>
        <w:t xml:space="preserve">2. What is a “Large Table Model”?</w:t>
      </w:r>
    </w:p>
    <w:p>
      <w:pPr>
        <w:spacing w:after="140" w:line="276"/>
      </w:pPr>
      <w:r>
        <w:rPr>
          <w:color w:val="1A1A1A"/>
        </w:rPr>
        <w:t xml:space="preserve">The term is not yet standardised, so it is worth pinning down. In this briefing “Large Table Model” means a foundation model for structured (tabular / relational) data — a model pre-trained on a vast range of tables so that it can make predictions on a new, unseen table without task-specific training. Two terms you will meet in the literature mean essentially the same thing:</w:t>
      </w:r>
    </w:p>
    <w:p>
      <w:pPr>
        <w:pStyle w:val="ListParagraph"/>
        <w:numPr>
          <w:ilvl w:val="0"/>
          <w:numId w:val="2"/>
        </w:numPr>
        <w:spacing w:after="70" w:line="268"/>
      </w:pPr>
      <w:r>
        <w:rPr>
          <w:b/>
          <w:bCs/>
          <w:color w:val="1A1A1A"/>
        </w:rPr>
        <w:t xml:space="preserve">Tabular Foundation Model (TFM) — </w:t>
      </w:r>
      <w:r>
        <w:rPr>
          <w:color w:val="1A1A1A"/>
        </w:rPr>
        <w:t xml:space="preserve">operates on one flat table (rows = examples, columns = features). TabPFN is the canonical example.</w:t>
      </w:r>
    </w:p>
    <w:p>
      <w:pPr>
        <w:pStyle w:val="ListParagraph"/>
        <w:numPr>
          <w:ilvl w:val="0"/>
          <w:numId w:val="2"/>
        </w:numPr>
        <w:spacing w:after="70" w:line="268"/>
      </w:pPr>
      <w:r>
        <w:rPr>
          <w:b/>
          <w:bCs/>
          <w:color w:val="1A1A1A"/>
        </w:rPr>
        <w:t xml:space="preserve">Relational Foundation Model (RFM) — </w:t>
      </w:r>
      <w:r>
        <w:rPr>
          <w:color w:val="1A1A1A"/>
        </w:rPr>
        <w:t xml:space="preserve">operates across many linked tables (a relational database / graph of users, items, events). KumoRFM is the canonical example, and is the most recommendation-relevant.</w:t>
      </w:r>
    </w:p>
    <w:p>
      <w:pPr>
        <w:pBdr>
          <w:left w:val="single" w:color="B06000" w:sz="18" w:space="8"/>
        </w:pBdr>
        <w:shd w:fill="FFF8E1" w:color="auto" w:val="clear"/>
        <w:spacing w:after="160" w:before="80" w:line="264"/>
      </w:pPr>
      <w:r>
        <w:rPr>
          <w:b/>
          <w:bCs/>
          <w:color w:val="B06000"/>
        </w:rPr>
        <w:t xml:space="preserve">Terminology watch.  </w:t>
      </w:r>
      <w:r>
        <w:rPr>
          <w:color w:val="5B4A1E"/>
        </w:rPr>
        <w:t xml:space="preserve">“Large Table Model” can be confused with two unrelated things: (1) large language models that read tables (e.g. TableGPT, TAPAS — these answer questions about a table in natural language, they do not predict outcomes); and (2) the very large embedding tables inside a recommender such as Merlin’s HugeCTR. This briefing means neither of those — it means a pre-trained predictor for tabular data.</w:t>
      </w:r>
    </w:p>
    <w:p>
      <w:pPr>
        <w:pStyle w:val="Heading2"/>
      </w:pPr>
      <w:r>
        <w:t xml:space="preserve">2.1 The core idea: in-context learning for tables</w:t>
      </w:r>
    </w:p>
    <w:p>
      <w:pPr>
        <w:spacing w:after="140" w:line="276"/>
      </w:pPr>
      <w:r>
        <w:rPr>
          <w:color w:val="1A1A1A"/>
        </w:rPr>
        <w:t xml:space="preserve">A traditional tabular model — XGBoost, LightGBM, or a custom Merlin network — is trained from scratch on your data. An LTM inverts this. It is pre-trained once on millions of synthetic tables (TabPFN v2 was trained on roughly 130 million of them), during which it “learns how to learn” a tabular problem. At prediction time you hand it your labelled rows as context plus the rows you want predicted, and it returns answers in a single forward pass — no gradient descent, no hyperparameter tuning. Architecturally it is a transformer that attends alternately across rows and across columns, which is what lets it adapt to an arbitrary new schema on the fly.</w:t>
      </w:r>
    </w:p>
    <w:p>
      <w:pPr>
        <w:spacing w:after="140" w:line="276"/>
      </w:pPr>
      <w:r>
        <w:rPr>
          <w:color w:val="1A1A1A"/>
        </w:rPr>
        <w:t xml:space="preserve">The practical upshot: setup that used to take a data-science team days (feature selection, model choice, tuning) collapses to minutes, and on small-to-medium datasets the accuracy now meets or beats heavily-tuned gradient-boosted-tree ensembles.</w:t>
      </w:r>
    </w:p>
    <w:p>
      <w:pPr>
        <w:pStyle w:val="Heading1"/>
      </w:pPr>
      <w:r>
        <w:t xml:space="preserve">3. The LTM landscape, 2025–2026</w:t>
      </w:r>
    </w:p>
    <w:p>
      <w:pPr>
        <w:spacing w:after="140" w:line="276"/>
      </w:pPr>
      <w:r>
        <w:rPr>
          <w:color w:val="1A1A1A"/>
        </w:rPr>
        <w:t xml:space="preserve">The space has gone from a curiosity to roughly a dozen serious models in under two years. The table below maps the ones most worth knowing. Row and feature limits are the vendors’ stated maxima and rise with almost every release — read them as a snapshot, not a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160"/>
        <w:gridCol w:w="3600"/>
      </w:tblGrid>
      <w:tr>
        <w:trPr>
          <w:tblHeader/>
        </w:trPr>
        <w:tc>
          <w:tcPr>
            <w:tcW w:type="dxa" w:w="210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Model (origin)</w:t>
            </w:r>
          </w:p>
        </w:tc>
        <w:tc>
          <w:tcPr>
            <w:tcW w:type="dxa" w:w="150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Type</w:t>
            </w:r>
          </w:p>
        </w:tc>
        <w:tc>
          <w:tcPr>
            <w:tcW w:type="dxa" w:w="216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Scale (stated)</w:t>
            </w:r>
          </w:p>
        </w:tc>
        <w:tc>
          <w:tcPr>
            <w:tcW w:type="dxa" w:w="360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What it is / why it matters</w:t>
            </w:r>
          </w:p>
        </w:tc>
      </w:tr>
      <w:tr>
        <w:tc>
          <w:tcPr>
            <w:tcW w:type="dxa" w:w="2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TabPFN v2 (Prior Labs)</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Tabular</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~10k rows, 500 feat.</w:t>
            </w:r>
          </w:p>
        </w:tc>
        <w:tc>
          <w:tcPr>
            <w:tcW w:type="dxa" w:w="3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The model that broke through; published in Nature (2025). Classification + regression in one forward pass.</w:t>
            </w:r>
          </w:p>
        </w:tc>
      </w:tr>
      <w:tr>
        <w:tc>
          <w:tcPr>
            <w:tcW w:type="dxa" w:w="21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TabPFN-2.5 (Prior Labs)</w:t>
            </w:r>
          </w:p>
        </w:tc>
        <w:tc>
          <w:tcPr>
            <w:tcW w:type="dxa" w:w="15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Tabular</w:t>
            </w:r>
          </w:p>
        </w:tc>
        <w:tc>
          <w:tcPr>
            <w:tcW w:type="dxa" w:w="216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~50k rows, 2k feat.</w:t>
            </w:r>
          </w:p>
        </w:tc>
        <w:tc>
          <w:tcPr>
            <w:tcW w:type="dxa" w:w="36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Nov 2025 update; reaches parity with multi-hour tuned ensembles (vendor benchmark).</w:t>
            </w:r>
          </w:p>
        </w:tc>
      </w:tr>
      <w:tr>
        <w:tc>
          <w:tcPr>
            <w:tcW w:type="dxa" w:w="2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TabPFN-3 (Prior Labs)</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Tabular</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up to 1M rows / 200 feat.</w:t>
            </w:r>
          </w:p>
        </w:tc>
        <w:tc>
          <w:tcPr>
            <w:tcW w:type="dxa" w:w="3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May 2026; flexible row×feature budgets. Pushes LTMs toward mid-scale industrial data.</w:t>
            </w:r>
          </w:p>
        </w:tc>
      </w:tr>
      <w:tr>
        <w:tc>
          <w:tcPr>
            <w:tcW w:type="dxa" w:w="21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TabICL (SODA / INRIA)</w:t>
            </w:r>
          </w:p>
        </w:tc>
        <w:tc>
          <w:tcPr>
            <w:tcW w:type="dxa" w:w="15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Tabular</w:t>
            </w:r>
          </w:p>
        </w:tc>
        <w:tc>
          <w:tcPr>
            <w:tcW w:type="dxa" w:w="216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up to ~500k rows</w:t>
            </w:r>
          </w:p>
        </w:tc>
        <w:tc>
          <w:tcPr>
            <w:tcW w:type="dxa" w:w="36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Two-stage architecture built specifically for larger tables; faster than TabPFN v2 on wide data.</w:t>
            </w:r>
          </w:p>
        </w:tc>
      </w:tr>
      <w:tr>
        <w:tc>
          <w:tcPr>
            <w:tcW w:type="dxa" w:w="2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Mitra (AWS)</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Tabular</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small–medium</w:t>
            </w:r>
          </w:p>
        </w:tc>
        <w:tc>
          <w:tcPr>
            <w:tcW w:type="dxa" w:w="3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Mixed synthetic priors; reports beating TabPFN v2 / TabICL. Integrated with AutoGluon.</w:t>
            </w:r>
          </w:p>
        </w:tc>
      </w:tr>
      <w:tr>
        <w:tc>
          <w:tcPr>
            <w:tcW w:type="dxa" w:w="21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TabFlex (Microsoft)</w:t>
            </w:r>
          </w:p>
        </w:tc>
        <w:tc>
          <w:tcPr>
            <w:tcW w:type="dxa" w:w="15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Tabular</w:t>
            </w:r>
          </w:p>
        </w:tc>
        <w:tc>
          <w:tcPr>
            <w:tcW w:type="dxa" w:w="216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millions of rows</w:t>
            </w:r>
          </w:p>
        </w:tc>
        <w:tc>
          <w:tcPr>
            <w:tcW w:type="dxa" w:w="36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Linear-attention variant aimed squarely at the scalability ceiling.</w:t>
            </w:r>
          </w:p>
        </w:tc>
      </w:tr>
      <w:tr>
        <w:tc>
          <w:tcPr>
            <w:tcW w:type="dxa" w:w="2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CARTE</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Tabular</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small–medium</w:t>
            </w:r>
          </w:p>
        </w:tc>
        <w:tc>
          <w:tcPr>
            <w:tcW w:type="dxa" w:w="3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Context-aware; handles messy string columns and schema differences across sources.</w:t>
            </w:r>
          </w:p>
        </w:tc>
      </w:tr>
      <w:tr>
        <w:tc>
          <w:tcPr>
            <w:tcW w:type="dxa" w:w="21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KumoRFM (Kumo.ai)</w:t>
            </w:r>
          </w:p>
        </w:tc>
        <w:tc>
          <w:tcPr>
            <w:tcW w:type="dxa" w:w="15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Relational</w:t>
            </w:r>
          </w:p>
        </w:tc>
        <w:tc>
          <w:tcPr>
            <w:tcW w:type="dxa" w:w="216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enterprise DBs</w:t>
            </w:r>
          </w:p>
        </w:tc>
        <w:tc>
          <w:tcPr>
            <w:tcW w:type="dxa" w:w="36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First relational foundation model; in-context predictions across linked tables, incl. recommendation / link prediction. The key one for recommenders.</w:t>
            </w:r>
          </w:p>
        </w:tc>
      </w:tr>
    </w:tbl>
    <w:p>
      <w:pPr>
        <w:spacing w:after="140" w:before="60" w:line="276"/>
      </w:pPr>
      <w:r>
        <w:rPr>
          <w:color w:val="1A1A1A"/>
        </w:rPr>
        <w:t xml:space="preserve">Two trajectories are visible: (a) Prior Labs and TabICL pushing the row/feature ceiling of single-table models upward; and (b) Kumo generalising the idea to whole relational databases, which is where it starts to touch recommendation directly.</w:t>
      </w:r>
    </w:p>
    <w:p>
      <w:pPr>
        <w:pStyle w:val="Heading1"/>
      </w:pPr>
      <w:r>
        <w:t xml:space="preserve">4. How an LTM differs from Merlin</w:t>
      </w:r>
    </w:p>
    <w:p>
      <w:pPr>
        <w:spacing w:after="140" w:line="276"/>
      </w:pPr>
      <w:r>
        <w:rPr>
          <w:color w:val="1A1A1A"/>
        </w:rPr>
        <w:t xml:space="preserve">The two are easiest to understand as opposite philosophies applied to the same data. Merlin gives you the machinery to build a bespoke, very large model and serve it live. An LTM gives you a finished general model you query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Dimension</w:t>
            </w:r>
          </w:p>
        </w:tc>
        <w:tc>
          <w:tcPr>
            <w:tcW w:type="dxa" w:w="348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NVIDIA Merlin</w:t>
            </w:r>
          </w:p>
        </w:tc>
        <w:tc>
          <w:tcPr>
            <w:tcW w:type="dxa" w:w="348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Large Table Model (TFM/RFM)</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Mental model</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A GPU toolkit to train &amp; serve your own deep recommender</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A pre-trained model you query on a new table instantly</w:t>
            </w:r>
          </w:p>
        </w:tc>
      </w:tr>
      <w:tr>
        <w:tc>
          <w:tcPr>
            <w:tcW w:type="dxa" w:w="24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Training</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You train each model on your data (hours–days on GPUs)</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Pre-trained once by the vendor; you do little or no training</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Primary tasks</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Retrieval + ranking (recommendation), CTR prediction</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Classification &amp; regression; RFMs add link prediction</w:t>
            </w:r>
          </w:p>
        </w:tc>
      </w:tr>
      <w:tr>
        <w:tc>
          <w:tcPr>
            <w:tcW w:type="dxa" w:w="24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Data scale</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Built for 100M–billions of rows, TB embedding tables</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Thousands to low-millions of rows (rising, but bounded)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Serving</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Real-time, millions of items/sec via Triton</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Batch / on-demand prediction; not built for web-scale serving</w:t>
            </w:r>
          </w:p>
        </w:tc>
      </w:tr>
      <w:tr>
        <w:tc>
          <w:tcPr>
            <w:tcW w:type="dxa" w:w="24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Engineering effort</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Substantial (feature store, ANN index, MLOps)</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Minimal — point at a table and predict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Time to first result</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Weeks–months</w:t>
            </w:r>
          </w:p>
        </w:tc>
        <w:tc>
          <w:tcPr>
            <w:tcW w:type="dxa" w:w="3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Minutes–hours</w:t>
            </w:r>
          </w:p>
        </w:tc>
      </w:tr>
      <w:tr>
        <w:tc>
          <w:tcPr>
            <w:tcW w:type="dxa" w:w="24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Best when</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Scale, latency and full control justify the build</w:t>
            </w:r>
          </w:p>
        </w:tc>
        <w:tc>
          <w:tcPr>
            <w:tcW w:type="dxa" w:w="34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Speed, small/medium data, low ML-engineering budget</w:t>
            </w:r>
          </w:p>
        </w:tc>
      </w:tr>
    </w:tbl>
    <w:p>
      <w:pPr>
        <w:pStyle w:val="ListParagraph"/>
        <w:numPr>
          <w:ilvl w:val="0"/>
          <w:numId w:val="2"/>
        </w:numPr>
        <w:spacing w:after="70" w:line="268"/>
      </w:pPr>
      <w:r>
        <w:rPr>
          <w:b/>
          <w:bCs/>
          <w:color w:val="1A1A1A"/>
        </w:rPr>
        <w:t xml:space="preserve">The one-line distinction: </w:t>
      </w:r>
      <w:r>
        <w:rPr>
          <w:color w:val="1A1A1A"/>
        </w:rPr>
        <w:t xml:space="preserve">Merlin is how you build a large recommender; an LTM is how you get a good tabular prediction without building anything. They overlap only at the relational-foundation-model frontier (KumoRFM), which can do recommendation-style link prediction zero-shot — today at enterprise-database scale, not yet at live web-serving scale.</w:t>
      </w:r>
    </w:p>
    <w:p>
      <w:pPr>
        <w:pStyle w:val="Heading1"/>
      </w:pPr>
      <w:r>
        <w:t xml:space="preserve">5. Where LTMs can be leveraged</w:t>
      </w:r>
    </w:p>
    <w:p>
      <w:pPr>
        <w:spacing w:after="140" w:line="276"/>
      </w:pPr>
      <w:r>
        <w:rPr>
          <w:color w:val="1A1A1A"/>
        </w:rPr>
        <w:t xml:space="preserve">LTMs are most valuable wherever you have a structured table and a prediction to make, but limited time, data, or ML-engineering capacity. For a media and financial-information business like Dow Jones, the natural fits sit alongside — not inside — the recommender stack.</w:t>
      </w:r>
    </w:p>
    <w:p>
      <w:pPr>
        <w:pStyle w:val="Heading2"/>
      </w:pPr>
      <w:r>
        <w:t xml:space="preserve">5.1 General-purpose fits</w:t>
      </w:r>
    </w:p>
    <w:p>
      <w:pPr>
        <w:pStyle w:val="ListParagraph"/>
        <w:numPr>
          <w:ilvl w:val="0"/>
          <w:numId w:val="2"/>
        </w:numPr>
        <w:spacing w:after="70" w:line="268"/>
      </w:pPr>
      <w:r>
        <w:rPr>
          <w:b/>
          <w:bCs/>
          <w:color w:val="1A1A1A"/>
        </w:rPr>
        <w:t xml:space="preserve">Rapid prototyping &amp; baselines. </w:t>
      </w:r>
      <w:r>
        <w:rPr>
          <w:color w:val="1A1A1A"/>
        </w:rPr>
        <w:t xml:space="preserve">Get a strong model in minutes to decide whether a problem is worth a full build — a fast “is there signal here?” test before committing Merlin-scale effort.</w:t>
      </w:r>
    </w:p>
    <w:p>
      <w:pPr>
        <w:pStyle w:val="ListParagraph"/>
        <w:numPr>
          <w:ilvl w:val="0"/>
          <w:numId w:val="2"/>
        </w:numPr>
        <w:spacing w:after="70" w:line="268"/>
      </w:pPr>
      <w:r>
        <w:rPr>
          <w:b/>
          <w:bCs/>
          <w:color w:val="1A1A1A"/>
        </w:rPr>
        <w:t xml:space="preserve">Small / cold-start datasets. </w:t>
      </w:r>
      <w:r>
        <w:rPr>
          <w:color w:val="1A1A1A"/>
        </w:rPr>
        <w:t xml:space="preserve">When you do not yet have the hundreds of millions of rows a deep recommender needs, an LTM often beats a hand-tuned model — useful for new products, new verticals, or early launch.</w:t>
      </w:r>
    </w:p>
    <w:p>
      <w:pPr>
        <w:pStyle w:val="ListParagraph"/>
        <w:numPr>
          <w:ilvl w:val="0"/>
          <w:numId w:val="2"/>
        </w:numPr>
        <w:spacing w:after="70" w:line="268"/>
      </w:pPr>
      <w:r>
        <w:rPr>
          <w:b/>
          <w:bCs/>
          <w:color w:val="1A1A1A"/>
        </w:rPr>
        <w:t xml:space="preserve">Exploratory data science &amp; feature triage. </w:t>
      </w:r>
      <w:r>
        <w:rPr>
          <w:color w:val="1A1A1A"/>
        </w:rPr>
        <w:t xml:space="preserve">Near-instant models let analysts test hypotheses and rank feature importance without an ML pipeline.</w:t>
      </w:r>
    </w:p>
    <w:p>
      <w:pPr>
        <w:pStyle w:val="Heading2"/>
      </w:pPr>
      <w:r>
        <w:t xml:space="preserve">5.2 Fits specific to a publisher like Dow Jones</w:t>
      </w:r>
    </w:p>
    <w:p>
      <w:pPr>
        <w:pStyle w:val="ListParagraph"/>
        <w:numPr>
          <w:ilvl w:val="0"/>
          <w:numId w:val="2"/>
        </w:numPr>
        <w:spacing w:after="70" w:line="268"/>
      </w:pPr>
      <w:r>
        <w:rPr>
          <w:b/>
          <w:bCs/>
          <w:color w:val="1A1A1A"/>
        </w:rPr>
        <w:t xml:space="preserve">Subscriber churn &amp; retention propensity. </w:t>
      </w:r>
      <w:r>
        <w:rPr>
          <w:color w:val="1A1A1A"/>
        </w:rPr>
        <w:t xml:space="preserve">Predict which subscribers are likely to lapse from account, billing and engagement features — a classic small-wide tabular problem where TabPFN-class models excel, and a direct complement to the retention use case in the Merlin briefing.</w:t>
      </w:r>
    </w:p>
    <w:p>
      <w:pPr>
        <w:pStyle w:val="ListParagraph"/>
        <w:numPr>
          <w:ilvl w:val="0"/>
          <w:numId w:val="2"/>
        </w:numPr>
        <w:spacing w:after="70" w:line="268"/>
      </w:pPr>
      <w:r>
        <w:rPr>
          <w:b/>
          <w:bCs/>
          <w:color w:val="1A1A1A"/>
        </w:rPr>
        <w:t xml:space="preserve">Lifetime-value &amp; upsell propensity. </w:t>
      </w:r>
      <w:r>
        <w:rPr>
          <w:color w:val="1A1A1A"/>
        </w:rPr>
        <w:t xml:space="preserve">Score likelihood to upgrade (e.g. WSJ → WSJ+Barron’s) or respond to an offer; feeds the same first-party-advertising and cross-sell goals identified for Merlin.</w:t>
      </w:r>
    </w:p>
    <w:p>
      <w:pPr>
        <w:pStyle w:val="ListParagraph"/>
        <w:numPr>
          <w:ilvl w:val="0"/>
          <w:numId w:val="2"/>
        </w:numPr>
        <w:spacing w:after="70" w:line="268"/>
      </w:pPr>
      <w:r>
        <w:rPr>
          <w:b/>
          <w:bCs/>
          <w:color w:val="1A1A1A"/>
        </w:rPr>
        <w:t xml:space="preserve">Lead scoring &amp; B2B conversion (Factiva, enterprise sales). </w:t>
      </w:r>
      <w:r>
        <w:rPr>
          <w:color w:val="1A1A1A"/>
        </w:rPr>
        <w:t xml:space="preserve">Rank trial accounts or sales leads by conversion probability — structured CRM data, modest row counts, high value per correct call.</w:t>
      </w:r>
    </w:p>
    <w:p>
      <w:pPr>
        <w:pStyle w:val="ListParagraph"/>
        <w:numPr>
          <w:ilvl w:val="0"/>
          <w:numId w:val="2"/>
        </w:numPr>
        <w:spacing w:after="70" w:line="268"/>
      </w:pPr>
      <w:r>
        <w:rPr>
          <w:b/>
          <w:bCs/>
          <w:color w:val="1A1A1A"/>
        </w:rPr>
        <w:t xml:space="preserve">Audience &amp; content segmentation. </w:t>
      </w:r>
      <w:r>
        <w:rPr>
          <w:color w:val="1A1A1A"/>
        </w:rPr>
        <w:t xml:space="preserve">Classify readers or articles into actionable segments for newsletters, targeting and editorial analytics.</w:t>
      </w:r>
    </w:p>
    <w:p>
      <w:pPr>
        <w:pStyle w:val="ListParagraph"/>
        <w:numPr>
          <w:ilvl w:val="0"/>
          <w:numId w:val="2"/>
        </w:numPr>
        <w:spacing w:after="70" w:line="268"/>
      </w:pPr>
      <w:r>
        <w:rPr>
          <w:b/>
          <w:bCs/>
          <w:color w:val="1A1A1A"/>
        </w:rPr>
        <w:t xml:space="preserve">Fraud, payment-failure and risk flags. </w:t>
      </w:r>
      <w:r>
        <w:rPr>
          <w:color w:val="1A1A1A"/>
        </w:rPr>
        <w:t xml:space="preserve">Binary classification on transactional tables — a strong LTM fit where labelled positives are scarce.</w:t>
      </w:r>
    </w:p>
    <w:p>
      <w:pPr>
        <w:pStyle w:val="ListParagraph"/>
        <w:numPr>
          <w:ilvl w:val="0"/>
          <w:numId w:val="2"/>
        </w:numPr>
        <w:spacing w:after="70" w:line="268"/>
      </w:pPr>
      <w:r>
        <w:rPr>
          <w:b/>
          <w:bCs/>
          <w:color w:val="1A1A1A"/>
        </w:rPr>
        <w:t xml:space="preserve">Recommendation via a relational FM (the frontier). </w:t>
      </w:r>
      <w:r>
        <w:rPr>
          <w:color w:val="1A1A1A"/>
        </w:rPr>
        <w:t xml:space="preserve">KumoRFM can produce “next-read” / link-prediction recommendations directly over the user–article–event database, zero-shot. For Dow Jones this is the option to watch: it could stand up a credible recommender in days for evaluation, before or alongside a Merlin / Vertex build — useful as a fast baseline to benchmark a custom system against.</w:t>
      </w:r>
    </w:p>
    <w:p>
      <w:pPr>
        <w:pStyle w:val="Heading1"/>
      </w:pPr>
      <w:r>
        <w:t xml:space="preserve">6. Pros and cons of LTMs</w:t>
      </w:r>
    </w:p>
    <w:p>
      <w:pPr>
        <w:pStyle w:val="Heading2"/>
      </w:pPr>
      <w:r>
        <w:t xml:space="preserve">6.1 Advantages</w:t>
      </w:r>
    </w:p>
    <w:p>
      <w:pPr>
        <w:pStyle w:val="ListParagraph"/>
        <w:numPr>
          <w:ilvl w:val="0"/>
          <w:numId w:val="2"/>
        </w:numPr>
        <w:spacing w:after="70" w:line="268"/>
      </w:pPr>
      <w:r>
        <w:rPr>
          <w:b/>
          <w:bCs/>
          <w:color w:val="1A1A1A"/>
        </w:rPr>
        <w:t xml:space="preserve">No training, no tuning. </w:t>
      </w:r>
      <w:r>
        <w:rPr>
          <w:color w:val="1A1A1A"/>
        </w:rPr>
        <w:t xml:space="preserve">Predictions in a single forward pass; days of pipeline work collapse to minutes.</w:t>
      </w:r>
    </w:p>
    <w:p>
      <w:pPr>
        <w:pStyle w:val="ListParagraph"/>
        <w:numPr>
          <w:ilvl w:val="0"/>
          <w:numId w:val="2"/>
        </w:numPr>
        <w:spacing w:after="70" w:line="268"/>
      </w:pPr>
      <w:r>
        <w:rPr>
          <w:b/>
          <w:bCs/>
          <w:color w:val="1A1A1A"/>
        </w:rPr>
        <w:t xml:space="preserve">Strong on small / medium data. </w:t>
      </w:r>
      <w:r>
        <w:rPr>
          <w:color w:val="1A1A1A"/>
        </w:rPr>
        <w:t xml:space="preserve">Meets or beats tuned XGBoost / LightGBM where data is limited — exactly where deep recommenders struggle.</w:t>
      </w:r>
    </w:p>
    <w:p>
      <w:pPr>
        <w:pStyle w:val="ListParagraph"/>
        <w:numPr>
          <w:ilvl w:val="0"/>
          <w:numId w:val="2"/>
        </w:numPr>
        <w:spacing w:after="70" w:line="268"/>
      </w:pPr>
      <w:r>
        <w:rPr>
          <w:b/>
          <w:bCs/>
          <w:color w:val="1A1A1A"/>
        </w:rPr>
        <w:t xml:space="preserve">Tiny ML-engineering footprint. </w:t>
      </w:r>
      <w:r>
        <w:rPr>
          <w:color w:val="1A1A1A"/>
        </w:rPr>
        <w:t xml:space="preserve">An analyst can use one; no feature store, no distributed training, no serving stack to build.</w:t>
      </w:r>
    </w:p>
    <w:p>
      <w:pPr>
        <w:pStyle w:val="ListParagraph"/>
        <w:numPr>
          <w:ilvl w:val="0"/>
          <w:numId w:val="2"/>
        </w:numPr>
        <w:spacing w:after="70" w:line="268"/>
      </w:pPr>
      <w:r>
        <w:rPr>
          <w:b/>
          <w:bCs/>
          <w:color w:val="1A1A1A"/>
        </w:rPr>
        <w:t xml:space="preserve">Native handling of messy tables. </w:t>
      </w:r>
      <w:r>
        <w:rPr>
          <w:color w:val="1A1A1A"/>
        </w:rPr>
        <w:t xml:space="preserve">Missing values, mixed numeric/categorical columns, and (for CARTE-class models) string and schema variation are handled out of the box.</w:t>
      </w:r>
    </w:p>
    <w:p>
      <w:pPr>
        <w:pStyle w:val="ListParagraph"/>
        <w:numPr>
          <w:ilvl w:val="0"/>
          <w:numId w:val="2"/>
        </w:numPr>
        <w:spacing w:after="70" w:line="268"/>
      </w:pPr>
      <w:r>
        <w:rPr>
          <w:b/>
          <w:bCs/>
          <w:color w:val="1A1A1A"/>
        </w:rPr>
        <w:t xml:space="preserve">Excellent for cold-start &amp; experimentation. </w:t>
      </w:r>
      <w:r>
        <w:rPr>
          <w:color w:val="1A1A1A"/>
        </w:rPr>
        <w:t xml:space="preserve">Useful precisely when you lack the data volume a custom model needs.</w:t>
      </w:r>
    </w:p>
    <w:p>
      <w:pPr>
        <w:pStyle w:val="Heading2"/>
      </w:pPr>
      <w:r>
        <w:t xml:space="preserve">6.2 Limitations</w:t>
      </w:r>
    </w:p>
    <w:p>
      <w:pPr>
        <w:pStyle w:val="ListParagraph"/>
        <w:numPr>
          <w:ilvl w:val="0"/>
          <w:numId w:val="2"/>
        </w:numPr>
        <w:spacing w:after="70" w:line="268"/>
      </w:pPr>
      <w:r>
        <w:rPr>
          <w:b/>
          <w:bCs/>
          <w:color w:val="1A1A1A"/>
        </w:rPr>
        <w:t xml:space="preserve">Scale ceiling. </w:t>
      </w:r>
      <w:r>
        <w:rPr>
          <w:color w:val="1A1A1A"/>
        </w:rPr>
        <w:t xml:space="preserve">Stated maxima are thousands to low-millions of rows. They do not yet address the hundreds-of-millions-of-rows, terabyte-embedding regime Merlin targets.</w:t>
      </w:r>
    </w:p>
    <w:p>
      <w:pPr>
        <w:pStyle w:val="ListParagraph"/>
        <w:numPr>
          <w:ilvl w:val="0"/>
          <w:numId w:val="2"/>
        </w:numPr>
        <w:spacing w:after="70" w:line="268"/>
      </w:pPr>
      <w:r>
        <w:rPr>
          <w:b/>
          <w:bCs/>
          <w:color w:val="1A1A1A"/>
        </w:rPr>
        <w:t xml:space="preserve">Not real-time serving engines. </w:t>
      </w:r>
      <w:r>
        <w:rPr>
          <w:color w:val="1A1A1A"/>
        </w:rPr>
        <w:t xml:space="preserve">Designed for batch / on-demand prediction, not for scoring millions of candidate items per second behind a live page — the hard constraint for production recommendation.</w:t>
      </w:r>
    </w:p>
    <w:p>
      <w:pPr>
        <w:pStyle w:val="ListParagraph"/>
        <w:numPr>
          <w:ilvl w:val="0"/>
          <w:numId w:val="2"/>
        </w:numPr>
        <w:spacing w:after="70" w:line="268"/>
      </w:pPr>
      <w:r>
        <w:rPr>
          <w:b/>
          <w:bCs/>
          <w:color w:val="1A1A1A"/>
        </w:rPr>
        <w:t xml:space="preserve">Mostly classification &amp; regression. </w:t>
      </w:r>
      <w:r>
        <w:rPr>
          <w:color w:val="1A1A1A"/>
        </w:rPr>
        <w:t xml:space="preserve">Native ranking / recommendation is the exception (RFMs), not the rule. A flat TFM does not replace a retrieval+ranking recommender.</w:t>
      </w:r>
    </w:p>
    <w:p>
      <w:pPr>
        <w:pStyle w:val="ListParagraph"/>
        <w:numPr>
          <w:ilvl w:val="0"/>
          <w:numId w:val="2"/>
        </w:numPr>
        <w:spacing w:after="70" w:line="268"/>
      </w:pPr>
      <w:r>
        <w:rPr>
          <w:b/>
          <w:bCs/>
          <w:color w:val="1A1A1A"/>
        </w:rPr>
        <w:t xml:space="preserve">Fast-moving and unsettled. </w:t>
      </w:r>
      <w:r>
        <w:rPr>
          <w:color w:val="1A1A1A"/>
        </w:rPr>
        <w:t xml:space="preserve">State-of-the-art shifts almost monthly; many benchmarks are author-run. Independent open-environment evaluations (e.g. arXiv 2505.16226) urge caution before trusting headline wins.</w:t>
      </w:r>
    </w:p>
    <w:p>
      <w:pPr>
        <w:pStyle w:val="ListParagraph"/>
        <w:numPr>
          <w:ilvl w:val="0"/>
          <w:numId w:val="2"/>
        </w:numPr>
        <w:spacing w:after="70" w:line="268"/>
      </w:pPr>
      <w:r>
        <w:rPr>
          <w:b/>
          <w:bCs/>
          <w:color w:val="1A1A1A"/>
        </w:rPr>
        <w:t xml:space="preserve">Licensing &amp; lock-in. </w:t>
      </w:r>
      <w:r>
        <w:rPr>
          <w:color w:val="1A1A1A"/>
        </w:rPr>
        <w:t xml:space="preserve">The strongest commercial variants (e.g. RealTabPFN) use non-commercial licences; relational FMs like KumoRFM are vendor platforms. Check terms before production use.</w:t>
      </w:r>
    </w:p>
    <w:p>
      <w:pPr>
        <w:pStyle w:val="ListParagraph"/>
        <w:numPr>
          <w:ilvl w:val="0"/>
          <w:numId w:val="2"/>
        </w:numPr>
        <w:spacing w:after="70" w:line="268"/>
      </w:pPr>
      <w:r>
        <w:rPr>
          <w:b/>
          <w:bCs/>
          <w:color w:val="1A1A1A"/>
        </w:rPr>
        <w:t xml:space="preserve">Memory / compute at inference. </w:t>
      </w:r>
      <w:r>
        <w:rPr>
          <w:color w:val="1A1A1A"/>
        </w:rPr>
        <w:t xml:space="preserve">Because context rows are processed at prediction time, large contexts are memory-hungry — part of why the scale ceiling exists.</w:t>
      </w:r>
    </w:p>
    <w:p>
      <w:pPr>
        <w:pStyle w:val="Heading1"/>
      </w:pPr>
      <w:r>
        <w:t xml:space="preserve">7. What this means for Dow Jones — and how it fits with Merlin &amp; Vertex</w:t>
      </w:r>
    </w:p>
    <w:p>
      <w:pPr>
        <w:spacing w:after="140" w:line="276"/>
      </w:pPr>
      <w:r>
        <w:rPr>
          <w:color w:val="1A1A1A"/>
        </w:rPr>
        <w:t xml:space="preserve">Read across the three briefings, the picture is coherent. Merlin (briefing 1) and the Vertex AI build (briefing 2) are about building and serving a large-scale recommender. LTMs are a different, lighter tool that covers the predictive-modelling tasks around that recommender — and, via relational FMs, offer a fast path to a recommendation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Need</w:t>
            </w:r>
          </w:p>
        </w:tc>
        <w:tc>
          <w:tcPr>
            <w:tcW w:type="dxa" w:w="338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Best tool today</w:t>
            </w:r>
          </w:p>
        </w:tc>
        <w:tc>
          <w:tcPr>
            <w:tcW w:type="dxa" w:w="3380"/>
            <w:tcBorders>
              <w:top w:val="single" w:color="CCCCCC" w:sz="1"/>
              <w:left w:val="single" w:color="CCCCCC" w:sz="1"/>
              <w:bottom w:val="single" w:color="CCCCCC" w:sz="1"/>
              <w:right w:val="single" w:color="CCCCCC" w:sz="1"/>
            </w:tcBorders>
            <w:shd w:fill="5B21B6" w:color="auto" w:val="clear"/>
            <w:tcMar>
              <w:top w:type="dxa" w:w="80"/>
              <w:left w:type="dxa" w:w="120"/>
              <w:bottom w:type="dxa" w:w="80"/>
              <w:right w:type="dxa" w:w="120"/>
            </w:tcMar>
            <w:vAlign w:val="center"/>
          </w:tcPr>
          <w:p>
            <w:pPr>
              <w:spacing w:after="0" w:line="260"/>
            </w:pPr>
            <w:r>
              <w:rPr>
                <w:b/>
                <w:bCs/>
                <w:color w:val="FFFFFF"/>
                <w:sz w:val="19"/>
                <w:szCs w:val="19"/>
              </w:rPr>
              <w:t xml:space="preserve">Why</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Web-scale live recommendation</w:t>
            </w:r>
          </w:p>
        </w:tc>
        <w:tc>
          <w:tcPr>
            <w:tcW w:type="dxa" w:w="33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Merlin (or Vertex custom build)</w:t>
            </w:r>
          </w:p>
        </w:tc>
        <w:tc>
          <w:tcPr>
            <w:tcW w:type="dxa" w:w="33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Throughput, latency and embedding scale demand a purpose-built, served pipeline</w:t>
            </w:r>
          </w:p>
        </w:tc>
      </w:tr>
      <w:tr>
        <w:tc>
          <w:tcPr>
            <w:tcW w:type="dxa" w:w="26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Launch standard rec surfaces fast</w:t>
            </w:r>
          </w:p>
        </w:tc>
        <w:tc>
          <w:tcPr>
            <w:tcW w:type="dxa" w:w="33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Vertex AI Search for media (managed)</w:t>
            </w:r>
          </w:p>
        </w:tc>
        <w:tc>
          <w:tcPr>
            <w:tcW w:type="dxa" w:w="33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Turnkey; no ML team — see briefing 2</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Churn / LTV / propensity / lead scoring</w:t>
            </w:r>
          </w:p>
        </w:tc>
        <w:tc>
          <w:tcPr>
            <w:tcW w:type="dxa" w:w="33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LTM (TabPFN-class)</w:t>
            </w:r>
          </w:p>
        </w:tc>
        <w:tc>
          <w:tcPr>
            <w:tcW w:type="dxa" w:w="33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Small-wide tabular, little training, strong accuracy</w:t>
            </w:r>
          </w:p>
        </w:tc>
      </w:tr>
      <w:tr>
        <w:tc>
          <w:tcPr>
            <w:tcW w:type="dxa" w:w="26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Cold-start / new-product modelling</w:t>
            </w:r>
          </w:p>
        </w:tc>
        <w:tc>
          <w:tcPr>
            <w:tcW w:type="dxa" w:w="33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LTM</w:t>
            </w:r>
          </w:p>
        </w:tc>
        <w:tc>
          <w:tcPr>
            <w:tcW w:type="dxa" w:w="33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Works before you have recommender-scale data</w:t>
            </w:r>
          </w:p>
        </w:tc>
      </w:tr>
      <w:tr>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Fast recommendation baseline to benchmark</w:t>
            </w:r>
          </w:p>
        </w:tc>
        <w:tc>
          <w:tcPr>
            <w:tcW w:type="dxa" w:w="33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Relational FM (KumoRFM)</w:t>
            </w:r>
          </w:p>
        </w:tc>
        <w:tc>
          <w:tcPr>
            <w:tcW w:type="dxa" w:w="33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Zero-shot link prediction over the existing DB in days</w:t>
            </w:r>
          </w:p>
        </w:tc>
      </w:tr>
      <w:tr>
        <w:tc>
          <w:tcPr>
            <w:tcW w:type="dxa" w:w="260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Rapid prototyping &amp; feature triage</w:t>
            </w:r>
          </w:p>
        </w:tc>
        <w:tc>
          <w:tcPr>
            <w:tcW w:type="dxa" w:w="33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LTM</w:t>
            </w:r>
          </w:p>
        </w:tc>
        <w:tc>
          <w:tcPr>
            <w:tcW w:type="dxa" w:w="3380"/>
            <w:tcBorders>
              <w:top w:val="single" w:color="CCCCCC" w:sz="1"/>
              <w:left w:val="single" w:color="CCCCCC" w:sz="1"/>
              <w:bottom w:val="single" w:color="CCCCCC" w:sz="1"/>
              <w:right w:val="single" w:color="CCCCCC" w:sz="1"/>
            </w:tcBorders>
            <w:shd w:fill="F4F1FB"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Minutes to a model; decide what deserves a full build</w:t>
            </w:r>
          </w:p>
        </w:tc>
      </w:tr>
    </w:tbl>
    <w:p>
      <w:pPr>
        <w:pStyle w:val="ListParagraph"/>
        <w:numPr>
          <w:ilvl w:val="0"/>
          <w:numId w:val="2"/>
        </w:numPr>
        <w:spacing w:after="70" w:line="268"/>
      </w:pPr>
      <w:r>
        <w:rPr>
          <w:b/>
          <w:bCs/>
          <w:color w:val="1A1A1A"/>
        </w:rPr>
        <w:t xml:space="preserve">Suggested posture: </w:t>
      </w:r>
      <w:r>
        <w:rPr>
          <w:color w:val="1A1A1A"/>
        </w:rPr>
        <w:t xml:space="preserve">treat LTMs as a standard tool in the analytics toolkit now (churn, LTV, propensity, segmentation), and run a time-boxed evaluation of a relational foundation model (KumoRFM-class) as a fast recommendation baseline — a cheap way to set the bar that any Merlin or Vertex custom build must clear before you commit the larger engineering investment.</w:t>
      </w:r>
    </w:p>
    <w:p>
      <w:pPr>
        <w:pStyle w:val="Heading1"/>
      </w:pPr>
      <w:r>
        <w:t xml:space="preserve">8. Key things to understand</w:t>
      </w:r>
    </w:p>
    <w:p>
      <w:pPr>
        <w:pStyle w:val="ListParagraph"/>
        <w:numPr>
          <w:ilvl w:val="0"/>
          <w:numId w:val="2"/>
        </w:numPr>
        <w:spacing w:after="70" w:line="268"/>
      </w:pPr>
      <w:r>
        <w:rPr>
          <w:b/>
          <w:bCs/>
          <w:color w:val="1A1A1A"/>
        </w:rPr>
        <w:t xml:space="preserve">They are complements, not a Merlin replacement — except at the relational frontier. </w:t>
      </w:r>
      <w:r>
        <w:rPr>
          <w:color w:val="1A1A1A"/>
        </w:rPr>
        <w:t xml:space="preserve">For 90% of tasks LTMs sit beside the recommender; only relational FMs encroach on recommendation itself.</w:t>
      </w:r>
    </w:p>
    <w:p>
      <w:pPr>
        <w:pStyle w:val="ListParagraph"/>
        <w:numPr>
          <w:ilvl w:val="0"/>
          <w:numId w:val="2"/>
        </w:numPr>
        <w:spacing w:after="70" w:line="268"/>
      </w:pPr>
      <w:r>
        <w:rPr>
          <w:b/>
          <w:bCs/>
          <w:color w:val="1A1A1A"/>
        </w:rPr>
        <w:t xml:space="preserve">The scale story is the whole story. </w:t>
      </w:r>
      <w:r>
        <w:rPr>
          <w:color w:val="1A1A1A"/>
        </w:rPr>
        <w:t xml:space="preserve">Merlin’s reason to exist is web-scale data and live serving. LTMs are climbing the scale curve fast but are not there yet — verify current limits against your actual row counts and latency before assuming overlap.</w:t>
      </w:r>
    </w:p>
    <w:p>
      <w:pPr>
        <w:pStyle w:val="ListParagraph"/>
        <w:numPr>
          <w:ilvl w:val="0"/>
          <w:numId w:val="2"/>
        </w:numPr>
        <w:spacing w:after="70" w:line="268"/>
      </w:pPr>
      <w:r>
        <w:rPr>
          <w:b/>
          <w:bCs/>
          <w:color w:val="1A1A1A"/>
        </w:rPr>
        <w:t xml:space="preserve">Relational foundation models are the wildcard. </w:t>
      </w:r>
      <w:r>
        <w:rPr>
          <w:color w:val="1A1A1A"/>
        </w:rPr>
        <w:t xml:space="preserve">KumoRFM is the development most worth tracking; if relational FMs reach production serving scale, the build-vs-buy calculus for recommenders shifts materially.</w:t>
      </w:r>
    </w:p>
    <w:p>
      <w:pPr>
        <w:pStyle w:val="ListParagraph"/>
        <w:numPr>
          <w:ilvl w:val="0"/>
          <w:numId w:val="2"/>
        </w:numPr>
        <w:spacing w:after="70" w:line="268"/>
      </w:pPr>
      <w:r>
        <w:rPr>
          <w:b/>
          <w:bCs/>
          <w:color w:val="1A1A1A"/>
        </w:rPr>
        <w:t xml:space="preserve">Benchmarks need a sceptical eye. </w:t>
      </w:r>
      <w:r>
        <w:rPr>
          <w:color w:val="1A1A1A"/>
        </w:rPr>
        <w:t xml:space="preserve">Many wins are author-reported on favourable benchmarks. Demand independent evaluation and test on your own data — the same discipline applied to NVIDIA’s “10×” claims in briefing 1.</w:t>
      </w:r>
    </w:p>
    <w:p>
      <w:pPr>
        <w:pStyle w:val="ListParagraph"/>
        <w:numPr>
          <w:ilvl w:val="0"/>
          <w:numId w:val="2"/>
        </w:numPr>
        <w:spacing w:after="70" w:line="268"/>
      </w:pPr>
      <w:r>
        <w:rPr>
          <w:b/>
          <w:bCs/>
          <w:color w:val="1A1A1A"/>
        </w:rPr>
        <w:t xml:space="preserve">Mind the licence. </w:t>
      </w:r>
      <w:r>
        <w:rPr>
          <w:color w:val="1A1A1A"/>
        </w:rPr>
        <w:t xml:space="preserve">Non-commercial licences on the best variants can block production use; confirm terms early.</w:t>
      </w:r>
    </w:p>
    <w:p>
      <w:pPr>
        <w:pStyle w:val="ListParagraph"/>
        <w:numPr>
          <w:ilvl w:val="0"/>
          <w:numId w:val="2"/>
        </w:numPr>
        <w:spacing w:after="70" w:line="268"/>
      </w:pPr>
      <w:r>
        <w:rPr>
          <w:b/>
          <w:bCs/>
          <w:color w:val="1A1A1A"/>
        </w:rPr>
        <w:t xml:space="preserve">It is a fast-moving target. </w:t>
      </w:r>
      <w:r>
        <w:rPr>
          <w:color w:val="1A1A1A"/>
        </w:rPr>
        <w:t xml:space="preserve">SOTA changes monthly. Any specific model named here may be superseded by the time of a procurement decision — re-check before committing.</w:t>
      </w:r>
    </w:p>
    <w:p>
      <w:pPr>
        <w:pStyle w:val="Heading1"/>
      </w:pPr>
      <w:r>
        <w:t xml:space="preserve">References</w:t>
      </w:r>
    </w:p>
    <w:p>
      <w:pPr>
        <w:spacing w:after="120"/>
      </w:pPr>
      <w:r>
        <w:rPr>
          <w:color w:val="1A1A1A"/>
        </w:rPr>
        <w:t xml:space="preserve">Primary papers, vendor documentation and independent commentary collected during research. Performance and scale figures attributed to a vendor are vendor-reported.</w:t>
      </w:r>
    </w:p>
    <w:p>
      <w:pPr>
        <w:pStyle w:val="ListParagraph"/>
        <w:numPr>
          <w:ilvl w:val="0"/>
          <w:numId w:val="3"/>
        </w:numPr>
        <w:spacing w:after="60" w:line="264"/>
      </w:pPr>
      <w:r>
        <w:rPr>
          <w:color w:val="1A1A1A"/>
        </w:rPr>
        <w:t xml:space="preserve">TabPFN — overview &amp; version history (Wikipedia) — </w:t>
      </w:r>
      <w:hyperlink w:history="1" r:id="rIdf2_k0otecoq9oclv3f8vp">
        <w:r>
          <w:rPr>
            <w:rStyle w:val="Hyperlink"/>
          </w:rPr>
          <w:t xml:space="preserve">https://en.wikipedia.org/wiki/TabPFN</w:t>
        </w:r>
      </w:hyperlink>
    </w:p>
    <w:p>
      <w:pPr>
        <w:pStyle w:val="ListParagraph"/>
        <w:numPr>
          <w:ilvl w:val="0"/>
          <w:numId w:val="3"/>
        </w:numPr>
        <w:spacing w:after="60" w:line="264"/>
      </w:pPr>
      <w:r>
        <w:rPr>
          <w:color w:val="1A1A1A"/>
        </w:rPr>
        <w:t xml:space="preserve">Hollmann et al., “Accurate predictions on small data with a tabular foundation model” (TabPFN v2, Nature 2025) — </w:t>
      </w:r>
      <w:hyperlink w:history="1" r:id="rIdic_zkp05hraofvjwx-ctk">
        <w:r>
          <w:rPr>
            <w:rStyle w:val="Hyperlink"/>
          </w:rPr>
          <w:t xml:space="preserve">https://www.nature.com/articles/s41586-024-08328-6</w:t>
        </w:r>
      </w:hyperlink>
    </w:p>
    <w:p>
      <w:pPr>
        <w:pStyle w:val="ListParagraph"/>
        <w:numPr>
          <w:ilvl w:val="0"/>
          <w:numId w:val="3"/>
        </w:numPr>
        <w:spacing w:after="60" w:line="264"/>
      </w:pPr>
      <w:r>
        <w:rPr>
          <w:color w:val="1A1A1A"/>
        </w:rPr>
        <w:t xml:space="preserve">Prior Labs — TabPFN v2 classifier (model card) — </w:t>
      </w:r>
      <w:hyperlink w:history="1" r:id="rId-idglfqeblczrly8cbi6j">
        <w:r>
          <w:rPr>
            <w:rStyle w:val="Hyperlink"/>
          </w:rPr>
          <w:t xml:space="preserve">https://huggingface.co/Prior-Labs/TabPFN-v2-clf</w:t>
        </w:r>
      </w:hyperlink>
    </w:p>
    <w:p>
      <w:pPr>
        <w:pStyle w:val="ListParagraph"/>
        <w:numPr>
          <w:ilvl w:val="0"/>
          <w:numId w:val="3"/>
        </w:numPr>
        <w:spacing w:after="60" w:line="264"/>
      </w:pPr>
      <w:r>
        <w:rPr>
          <w:color w:val="1A1A1A"/>
        </w:rPr>
        <w:t xml:space="preserve">TabPFN-2.5: Advancing the State of the Art in Tabular Foundation Models (arXiv 2511.08667) — </w:t>
      </w:r>
      <w:hyperlink w:history="1" r:id="rIdesxfwkcjafojpn5m1d4oo">
        <w:r>
          <w:rPr>
            <w:rStyle w:val="Hyperlink"/>
          </w:rPr>
          <w:t xml:space="preserve">https://arxiv.org/abs/2511.08667</w:t>
        </w:r>
      </w:hyperlink>
    </w:p>
    <w:p>
      <w:pPr>
        <w:pStyle w:val="ListParagraph"/>
        <w:numPr>
          <w:ilvl w:val="0"/>
          <w:numId w:val="3"/>
        </w:numPr>
        <w:spacing w:after="60" w:line="264"/>
      </w:pPr>
      <w:r>
        <w:rPr>
          <w:color w:val="1A1A1A"/>
        </w:rPr>
        <w:t xml:space="preserve">TabICL: A Tabular Foundation Model for In-Context Learning on Large Data (arXiv 2502.05564) — </w:t>
      </w:r>
      <w:hyperlink w:history="1" r:id="rId9wlrnac2gx2e1a0si5asv">
        <w:r>
          <w:rPr>
            <w:rStyle w:val="Hyperlink"/>
          </w:rPr>
          <w:t xml:space="preserve">https://arxiv.org/pdf/2502.05564</w:t>
        </w:r>
      </w:hyperlink>
    </w:p>
    <w:p>
      <w:pPr>
        <w:pStyle w:val="ListParagraph"/>
        <w:numPr>
          <w:ilvl w:val="0"/>
          <w:numId w:val="3"/>
        </w:numPr>
        <w:spacing w:after="60" w:line="264"/>
      </w:pPr>
      <w:r>
        <w:rPr>
          <w:color w:val="1A1A1A"/>
        </w:rPr>
        <w:t xml:space="preserve">Mitra: Mixed Synthetic Priors for Enhancing Tabular Foundation Models (arXiv 2510.21204) — </w:t>
      </w:r>
      <w:hyperlink w:history="1" r:id="rIdxofjat8xjzulbwsmw0ebw">
        <w:r>
          <w:rPr>
            <w:rStyle w:val="Hyperlink"/>
          </w:rPr>
          <w:t xml:space="preserve">https://arxiv.org/pdf/2510.21204</w:t>
        </w:r>
      </w:hyperlink>
    </w:p>
    <w:p>
      <w:pPr>
        <w:pStyle w:val="ListParagraph"/>
        <w:numPr>
          <w:ilvl w:val="0"/>
          <w:numId w:val="3"/>
        </w:numPr>
        <w:spacing w:after="60" w:line="264"/>
      </w:pPr>
      <w:r>
        <w:rPr>
          <w:color w:val="1A1A1A"/>
        </w:rPr>
        <w:t xml:space="preserve">Realistic Evaluation of TabPFN v2 in Open Environments (arXiv 2505.16226) — </w:t>
      </w:r>
      <w:hyperlink w:history="1" r:id="rIdgpvfhufdsnxuxlzqrp8zi">
        <w:r>
          <w:rPr>
            <w:rStyle w:val="Hyperlink"/>
          </w:rPr>
          <w:t xml:space="preserve">https://arxiv.org/pdf/2505.16226</w:t>
        </w:r>
      </w:hyperlink>
    </w:p>
    <w:p>
      <w:pPr>
        <w:pStyle w:val="ListParagraph"/>
        <w:numPr>
          <w:ilvl w:val="0"/>
          <w:numId w:val="3"/>
        </w:numPr>
        <w:spacing w:after="60" w:line="264"/>
      </w:pPr>
      <w:r>
        <w:rPr>
          <w:color w:val="1A1A1A"/>
        </w:rPr>
        <w:t xml:space="preserve">KumoRFM: A Foundation Model for In-Context Learning on Relational Data (Kumo.ai research paper) — </w:t>
      </w:r>
      <w:hyperlink w:history="1" r:id="rIdg7m5pmq7ozhhe1qqu2sw5">
        <w:r>
          <w:rPr>
            <w:rStyle w:val="Hyperlink"/>
          </w:rPr>
          <w:t xml:space="preserve">https://kumo.ai/research/kumo_relational_foundation_model.pdf</w:t>
        </w:r>
      </w:hyperlink>
    </w:p>
    <w:p>
      <w:pPr>
        <w:pStyle w:val="ListParagraph"/>
        <w:numPr>
          <w:ilvl w:val="0"/>
          <w:numId w:val="3"/>
        </w:numPr>
        <w:spacing w:after="60" w:line="264"/>
      </w:pPr>
      <w:r>
        <w:rPr>
          <w:color w:val="1A1A1A"/>
        </w:rPr>
        <w:t xml:space="preserve">Introducing KumoRFM — the first relational foundation model (Kumo.ai) — </w:t>
      </w:r>
      <w:hyperlink w:history="1" r:id="rIdvokd5jkiqsuj2kesunygl">
        <w:r>
          <w:rPr>
            <w:rStyle w:val="Hyperlink"/>
          </w:rPr>
          <w:t xml:space="preserve">https://kumo.ai/company/news/kumo-relational-foundation-model/</w:t>
        </w:r>
      </w:hyperlink>
    </w:p>
    <w:p>
      <w:pPr>
        <w:pStyle w:val="ListParagraph"/>
        <w:numPr>
          <w:ilvl w:val="0"/>
          <w:numId w:val="3"/>
        </w:numPr>
        <w:spacing w:after="60" w:line="264"/>
      </w:pPr>
      <w:r>
        <w:rPr>
          <w:color w:val="1A1A1A"/>
        </w:rPr>
        <w:t xml:space="preserve">The State of Tabular Foundation Models, 2026 (Mindful Modeler) — </w:t>
      </w:r>
      <w:hyperlink w:history="1" r:id="rIdbd0bsqyfkxukl8jqyp0-b">
        <w:r>
          <w:rPr>
            <w:rStyle w:val="Hyperlink"/>
          </w:rPr>
          <w:t xml:space="preserve">https://mindfulmodeler.substack.com/p/the-state-of-tabular-foundation-models</w:t>
        </w:r>
      </w:hyperlink>
    </w:p>
    <w:p>
      <w:pPr>
        <w:pStyle w:val="ListParagraph"/>
        <w:numPr>
          <w:ilvl w:val="0"/>
          <w:numId w:val="3"/>
        </w:numPr>
        <w:spacing w:after="60" w:line="264"/>
      </w:pPr>
      <w:r>
        <w:rPr>
          <w:color w:val="1A1A1A"/>
        </w:rPr>
        <w:t xml:space="preserve">How the Rise of Tabular Foundation Models Is Reshaping Data Science (Towards Data Science) — </w:t>
      </w:r>
      <w:hyperlink w:history="1" r:id="rIddhplppfg3be7__fbfzcgq">
        <w:r>
          <w:rPr>
            <w:rStyle w:val="Hyperlink"/>
          </w:rPr>
          <w:t xml:space="preserve">https://towardsdatascience.com/tabular-foundation-models/</w:t>
        </w:r>
      </w:hyperlink>
    </w:p>
    <w:p>
      <w:pPr>
        <w:pStyle w:val="ListParagraph"/>
        <w:numPr>
          <w:ilvl w:val="0"/>
          <w:numId w:val="3"/>
        </w:numPr>
        <w:spacing w:after="60" w:line="264"/>
      </w:pPr>
      <w:r>
        <w:rPr>
          <w:color w:val="1A1A1A"/>
        </w:rPr>
        <w:t xml:space="preserve">A Survey of Real-World Recommender Systems: Challenges (arXiv 2509.06002) — </w:t>
      </w:r>
      <w:hyperlink w:history="1" r:id="rIdfdiumu_w-kqya0tlgeabe">
        <w:r>
          <w:rPr>
            <w:rStyle w:val="Hyperlink"/>
          </w:rPr>
          <w:t xml:space="preserve">https://arxiv.org/pdf/2509.06002</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F2" w:sz="4" w:space="4"/>
      </w:pBdr>
      <w:tabs>
        <w:tab w:val="right" w:pos="9360"/>
      </w:tabs>
    </w:pPr>
    <w:r>
      <w:rPr>
        <w:color w:val="888888"/>
        <w:sz w:val="16"/>
        <w:szCs w:val="16"/>
      </w:rPr>
      <w:t xml:space="preserve">Large Table Models — Research Briefing</w:t>
    </w:r>
    <w:r>
      <w:rPr>
        <w:color w:val="888888"/>
        <w:sz w:val="16"/>
        <w:szCs w:val="16"/>
      </w:rPr>
      <w:t xml:space="preserve">	Dow Jones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5B21B6"/>
      </w:r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F2" w:sz="4" w:space="4"/>
      </w:pBdr>
      <w:spacing w:after="160" w:before="300"/>
      <w:outlineLvl w:val="0"/>
    </w:pPr>
    <w:rPr>
      <w:rFonts w:ascii="Arial" w:cs="Arial" w:eastAsia="Arial" w:hAnsi="Arial"/>
      <w:b/>
      <w:bCs/>
      <w:color w:val="3C147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5B21B6"/>
      <w:sz w:val="24"/>
      <w:szCs w:val="24"/>
    </w:rPr>
  </w:style>
  <w:style w:type="paragraph" w:styleId="Hyperlink">
    <w:name w:val="Hyperlink"/>
    <w:basedOn w:val="Normal"/>
    <w:rPr>
      <w:color w:val="1A56C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2_k0otecoq9oclv3f8vp" Type="http://schemas.openxmlformats.org/officeDocument/2006/relationships/hyperlink" Target="https://en.wikipedia.org/wiki/TabPFN" TargetMode="External"/><Relationship Id="rIdic_zkp05hraofvjwx-ctk" Type="http://schemas.openxmlformats.org/officeDocument/2006/relationships/hyperlink" Target="https://www.nature.com/articles/s41586-024-08328-6" TargetMode="External"/><Relationship Id="rId-idglfqeblczrly8cbi6j" Type="http://schemas.openxmlformats.org/officeDocument/2006/relationships/hyperlink" Target="https://huggingface.co/Prior-Labs/TabPFN-v2-clf" TargetMode="External"/><Relationship Id="rIdesxfwkcjafojpn5m1d4oo" Type="http://schemas.openxmlformats.org/officeDocument/2006/relationships/hyperlink" Target="https://arxiv.org/abs/2511.08667" TargetMode="External"/><Relationship Id="rId9wlrnac2gx2e1a0si5asv" Type="http://schemas.openxmlformats.org/officeDocument/2006/relationships/hyperlink" Target="https://arxiv.org/pdf/2502.05564" TargetMode="External"/><Relationship Id="rIdxofjat8xjzulbwsmw0ebw" Type="http://schemas.openxmlformats.org/officeDocument/2006/relationships/hyperlink" Target="https://arxiv.org/pdf/2510.21204" TargetMode="External"/><Relationship Id="rIdgpvfhufdsnxuxlzqrp8zi" Type="http://schemas.openxmlformats.org/officeDocument/2006/relationships/hyperlink" Target="https://arxiv.org/pdf/2505.16226" TargetMode="External"/><Relationship Id="rIdg7m5pmq7ozhhe1qqu2sw5" Type="http://schemas.openxmlformats.org/officeDocument/2006/relationships/hyperlink" Target="https://kumo.ai/research/kumo_relational_foundation_model.pdf" TargetMode="External"/><Relationship Id="rIdvokd5jkiqsuj2kesunygl" Type="http://schemas.openxmlformats.org/officeDocument/2006/relationships/hyperlink" Target="https://kumo.ai/company/news/kumo-relational-foundation-model/" TargetMode="External"/><Relationship Id="rIdbd0bsqyfkxukl8jqyp0-b" Type="http://schemas.openxmlformats.org/officeDocument/2006/relationships/hyperlink" Target="https://mindfulmodeler.substack.com/p/the-state-of-tabular-foundation-models" TargetMode="External"/><Relationship Id="rIddhplppfg3be7__fbfzcgq" Type="http://schemas.openxmlformats.org/officeDocument/2006/relationships/hyperlink" Target="https://towardsdatascience.com/tabular-foundation-models/" TargetMode="External"/><Relationship Id="rIdfdiumu_w-kqya0tlgeabe" Type="http://schemas.openxmlformats.org/officeDocument/2006/relationships/hyperlink" Target="https://arxiv.org/pdf/2509.06002"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2026-06-27T03:12:14.330Z</dcterms:created>
  <dcterms:modified xsi:type="dcterms:W3CDTF">2026-06-27T03:12:14.331Z</dcterms:modified>
</cp:coreProperties>
</file>

<file path=docProps/custom.xml><?xml version="1.0" encoding="utf-8"?>
<Properties xmlns="http://schemas.openxmlformats.org/officeDocument/2006/custom-properties" xmlns:vt="http://schemas.openxmlformats.org/officeDocument/2006/docPropsVTypes"/>
</file>