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1EAE" w14:textId="77777777" w:rsidR="00DF6A32" w:rsidRPr="00DF6A32" w:rsidRDefault="00DF6A32" w:rsidP="00DF6A32">
      <w:pPr>
        <w:rPr>
          <w:b/>
          <w:bCs/>
        </w:rPr>
      </w:pPr>
      <w:r w:rsidRPr="00DF6A32">
        <w:rPr>
          <w:b/>
          <w:bCs/>
        </w:rPr>
        <w:t>Abstract</w:t>
      </w:r>
    </w:p>
    <w:p w14:paraId="387DDFA4" w14:textId="77777777" w:rsidR="00DF6A32" w:rsidRPr="00DF6A32" w:rsidRDefault="00DF6A32" w:rsidP="00DF6A32">
      <w:r w:rsidRPr="00DF6A32">
        <w:rPr>
          <w:b/>
          <w:bCs/>
        </w:rPr>
        <w:t>Background:</w:t>
      </w:r>
      <w:r w:rsidRPr="00DF6A32">
        <w:t xml:space="preserve"> Brain metastases represent a major cause of morbidity and mortality in patients with non-small cell lung cancer (NSCLC). Although immune checkpoint inhibitors have improved clinical outcomes, the cellular and molecular mechanisms underlying immune dysfunction during metastatic progression remain incompletely understood. This study aimed to characterize immune microenvironment </w:t>
      </w:r>
      <w:proofErr w:type="spellStart"/>
      <w:r w:rsidRPr="00DF6A32">
        <w:t>remodeling</w:t>
      </w:r>
      <w:proofErr w:type="spellEnd"/>
      <w:r w:rsidRPr="00DF6A32">
        <w:t xml:space="preserve"> during NSCLC progression using single-cell transcriptomic data.</w:t>
      </w:r>
    </w:p>
    <w:p w14:paraId="4FF955AB" w14:textId="77777777" w:rsidR="00DF6A32" w:rsidRPr="00DF6A32" w:rsidRDefault="00DF6A32" w:rsidP="00DF6A32">
      <w:r w:rsidRPr="00DF6A32">
        <w:rPr>
          <w:b/>
          <w:bCs/>
        </w:rPr>
        <w:t>Methods:</w:t>
      </w:r>
      <w:r w:rsidRPr="00DF6A32">
        <w:t xml:space="preserve"> Single-cell RNA sequencing data from the GEO dataset GSE131907 comprising 208,506 cells were </w:t>
      </w:r>
      <w:proofErr w:type="spellStart"/>
      <w:r w:rsidRPr="00DF6A32">
        <w:t>analyzed</w:t>
      </w:r>
      <w:proofErr w:type="spellEnd"/>
      <w:r w:rsidRPr="00DF6A32">
        <w:t>. Cellular composition, T-cell states, macrophage populations, immune checkpoint gene expression, and exhaustion-associated transcriptional programs were evaluated across normal lung tissue (</w:t>
      </w:r>
      <w:proofErr w:type="spellStart"/>
      <w:r w:rsidRPr="00DF6A32">
        <w:t>nLung</w:t>
      </w:r>
      <w:proofErr w:type="spellEnd"/>
      <w:r w:rsidRPr="00DF6A32">
        <w:t>), primary lung tumors (</w:t>
      </w:r>
      <w:proofErr w:type="spellStart"/>
      <w:r w:rsidRPr="00DF6A32">
        <w:t>tLung</w:t>
      </w:r>
      <w:proofErr w:type="spellEnd"/>
      <w:r w:rsidRPr="00DF6A32">
        <w:t>), and brain metastases (</w:t>
      </w:r>
      <w:proofErr w:type="spellStart"/>
      <w:r w:rsidRPr="00DF6A32">
        <w:t>mBrain</w:t>
      </w:r>
      <w:proofErr w:type="spellEnd"/>
      <w:r w:rsidRPr="00DF6A32">
        <w:t>). An exhaustion score was calculated using the combined expression of PDCD1, CTLA4, LAG3, TIGIT, HAVCR2, and TOX. Statistical significance was assessed using the Mann–Whitney U test.</w:t>
      </w:r>
    </w:p>
    <w:p w14:paraId="2B5858B7" w14:textId="77777777" w:rsidR="00DF6A32" w:rsidRPr="00DF6A32" w:rsidRDefault="00DF6A32" w:rsidP="00DF6A32">
      <w:r w:rsidRPr="00DF6A32">
        <w:rPr>
          <w:b/>
          <w:bCs/>
        </w:rPr>
        <w:t>Results:</w:t>
      </w:r>
      <w:r w:rsidRPr="00DF6A32">
        <w:t xml:space="preserve"> Progressive </w:t>
      </w:r>
      <w:proofErr w:type="spellStart"/>
      <w:r w:rsidRPr="00DF6A32">
        <w:t>remodeling</w:t>
      </w:r>
      <w:proofErr w:type="spellEnd"/>
      <w:r w:rsidRPr="00DF6A32">
        <w:t xml:space="preserve"> of the immune microenvironment was observed during NSCLC progression. Cytotoxic CD8+ T cells decreased from 28.4% in normal lung tissue to 2.9% in primary tumors and 1.2% in brain metastases. In contrast, exhausted CD8+ T cells increased from 2.5% to 13.1% and 15.6%, while regulatory T cells increased from 2.7% to 12.0% and 14.9%, respectively. Within the myeloid compartment, alveolar macrophages decreased from 73.2% in normal lung tissue to 2.4% in brain metastases, whereas monocyte-derived macrophages increased from 4.8% to 69.7%. Exhausted CD8+ T cells exhibited elevated expression of PDCD1, CTLA4, LAG3, TIGIT, HAVCR2, and TOX. Brain metastases displayed the highest exhaustion-associated transcriptional activity, with exhausted CD8+ T-cell exhaustion scores increasing from 1.299 in normal lung tissue to 3.701 in brain metastases (p = 1.15 × 10^-10).</w:t>
      </w:r>
    </w:p>
    <w:p w14:paraId="775024EA" w14:textId="77777777" w:rsidR="00DF6A32" w:rsidRPr="00DF6A32" w:rsidRDefault="00DF6A32" w:rsidP="00DF6A32">
      <w:r w:rsidRPr="00DF6A32">
        <w:rPr>
          <w:b/>
          <w:bCs/>
        </w:rPr>
        <w:t>Conclusions:</w:t>
      </w:r>
      <w:r w:rsidRPr="00DF6A32">
        <w:t xml:space="preserve"> NSCLC progression is associated with profound immune microenvironment </w:t>
      </w:r>
      <w:proofErr w:type="spellStart"/>
      <w:r w:rsidRPr="00DF6A32">
        <w:t>remodeling</w:t>
      </w:r>
      <w:proofErr w:type="spellEnd"/>
      <w:r w:rsidRPr="00DF6A32">
        <w:t xml:space="preserve"> characterized by loss of cytotoxic T-cell populations, expansion of exhausted CD8+ T cells and regulatory T cells, macrophage reprogramming, and increased immune checkpoint activity. Brain metastases exhibit the most pronounced immune exhaustion phenotype, highlighting potential therapeutic opportunities for immune checkpoint-targeted interventions in advanced NSCLC.</w:t>
      </w:r>
    </w:p>
    <w:p w14:paraId="1C578D9C" w14:textId="77777777" w:rsidR="004216DB" w:rsidRDefault="004216DB"/>
    <w:sectPr w:rsidR="00421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DB"/>
    <w:rsid w:val="004216DB"/>
    <w:rsid w:val="00BD21BB"/>
    <w:rsid w:val="00DF6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4CDFB6-F432-430D-BA0C-831A30E4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DB"/>
    <w:rPr>
      <w:rFonts w:eastAsiaTheme="majorEastAsia" w:cstheme="majorBidi"/>
      <w:color w:val="272727" w:themeColor="text1" w:themeTint="D8"/>
    </w:rPr>
  </w:style>
  <w:style w:type="paragraph" w:styleId="Title">
    <w:name w:val="Title"/>
    <w:basedOn w:val="Normal"/>
    <w:next w:val="Normal"/>
    <w:link w:val="TitleChar"/>
    <w:uiPriority w:val="10"/>
    <w:qFormat/>
    <w:rsid w:val="00421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DB"/>
    <w:pPr>
      <w:spacing w:before="160"/>
      <w:jc w:val="center"/>
    </w:pPr>
    <w:rPr>
      <w:i/>
      <w:iCs/>
      <w:color w:val="404040" w:themeColor="text1" w:themeTint="BF"/>
    </w:rPr>
  </w:style>
  <w:style w:type="character" w:customStyle="1" w:styleId="QuoteChar">
    <w:name w:val="Quote Char"/>
    <w:basedOn w:val="DefaultParagraphFont"/>
    <w:link w:val="Quote"/>
    <w:uiPriority w:val="29"/>
    <w:rsid w:val="004216DB"/>
    <w:rPr>
      <w:i/>
      <w:iCs/>
      <w:color w:val="404040" w:themeColor="text1" w:themeTint="BF"/>
    </w:rPr>
  </w:style>
  <w:style w:type="paragraph" w:styleId="ListParagraph">
    <w:name w:val="List Paragraph"/>
    <w:basedOn w:val="Normal"/>
    <w:uiPriority w:val="34"/>
    <w:qFormat/>
    <w:rsid w:val="004216DB"/>
    <w:pPr>
      <w:ind w:left="720"/>
      <w:contextualSpacing/>
    </w:pPr>
  </w:style>
  <w:style w:type="character" w:styleId="IntenseEmphasis">
    <w:name w:val="Intense Emphasis"/>
    <w:basedOn w:val="DefaultParagraphFont"/>
    <w:uiPriority w:val="21"/>
    <w:qFormat/>
    <w:rsid w:val="004216DB"/>
    <w:rPr>
      <w:i/>
      <w:iCs/>
      <w:color w:val="0F4761" w:themeColor="accent1" w:themeShade="BF"/>
    </w:rPr>
  </w:style>
  <w:style w:type="paragraph" w:styleId="IntenseQuote">
    <w:name w:val="Intense Quote"/>
    <w:basedOn w:val="Normal"/>
    <w:next w:val="Normal"/>
    <w:link w:val="IntenseQuoteChar"/>
    <w:uiPriority w:val="30"/>
    <w:qFormat/>
    <w:rsid w:val="00421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6DB"/>
    <w:rPr>
      <w:i/>
      <w:iCs/>
      <w:color w:val="0F4761" w:themeColor="accent1" w:themeShade="BF"/>
    </w:rPr>
  </w:style>
  <w:style w:type="character" w:styleId="IntenseReference">
    <w:name w:val="Intense Reference"/>
    <w:basedOn w:val="DefaultParagraphFont"/>
    <w:uiPriority w:val="32"/>
    <w:qFormat/>
    <w:rsid w:val="00421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2064</Characters>
  <Application>Microsoft Office Word</Application>
  <DocSecurity>0</DocSecurity>
  <Lines>58</Lines>
  <Paragraphs>66</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GABARA</dc:creator>
  <cp:keywords/>
  <dc:description/>
  <cp:lastModifiedBy>AGATA GABARA</cp:lastModifiedBy>
  <cp:revision>2</cp:revision>
  <dcterms:created xsi:type="dcterms:W3CDTF">2026-06-16T20:55:00Z</dcterms:created>
  <dcterms:modified xsi:type="dcterms:W3CDTF">2026-06-16T20:55:00Z</dcterms:modified>
</cp:coreProperties>
</file>