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E639" w14:textId="77777777" w:rsidR="00601FB3" w:rsidRPr="00601FB3" w:rsidRDefault="00601FB3" w:rsidP="00601FB3">
      <w:pPr>
        <w:rPr>
          <w:b/>
          <w:bCs/>
        </w:rPr>
      </w:pPr>
      <w:r w:rsidRPr="00601FB3">
        <w:rPr>
          <w:b/>
          <w:bCs/>
        </w:rPr>
        <w:t>Discussion</w:t>
      </w:r>
    </w:p>
    <w:p w14:paraId="3C780CC6" w14:textId="77777777" w:rsidR="00601FB3" w:rsidRPr="00601FB3" w:rsidRDefault="00601FB3" w:rsidP="00601FB3">
      <w:r w:rsidRPr="00601FB3">
        <w:t>A comprehensive single-cell transcriptomic analysis of 208,506 cells from patients with NSCLC was performed to characterize immune microenvironment remodeling during progression from normal lung tissue to primary tumors and brain metastases. The results demonstrated profound alterations in both lymphoid and myeloid compartments, highlighting progressive immune dysfunction as a defining feature of metastatic disease.</w:t>
      </w:r>
    </w:p>
    <w:p w14:paraId="648EC944" w14:textId="77777777" w:rsidR="00601FB3" w:rsidRPr="00601FB3" w:rsidRDefault="00601FB3" w:rsidP="00601FB3">
      <w:r w:rsidRPr="00601FB3">
        <w:t>One of the most notable observations was the marked reduction in cytotoxic CD8+ T cells accompanied by expansion of exhausted CD8+ T cells and regulatory T cells (Tregs). Cytotoxic CD8+ T cells represented the dominant T-cell population in normal lung tissue but were substantially depleted in primary tumors and brain metastases. In contrast, exhausted CD8+ T cells and Tregs progressively accumulated during disease progression. These findings are consistent with previous studies demonstrating that chronic antigen exposure within the tumor microenvironment promotes T-cell dysfunction and immune escape.</w:t>
      </w:r>
    </w:p>
    <w:p w14:paraId="54CC1E87" w14:textId="77777777" w:rsidR="00601FB3" w:rsidRPr="00601FB3" w:rsidRDefault="00601FB3" w:rsidP="00601FB3">
      <w:r w:rsidRPr="00601FB3">
        <w:t>The molecular characterization of exhausted CD8+ T cells further supported this interpretation. Exhausted T cells exhibited elevated expression of multiple inhibitory receptors, including PDCD1, CTLA4, LAG3, TIGIT, HAVCR2, and TOX. Importantly, expression of several exhaustion-associated markers was highest in brain metastases. These observations suggest that metastatic lesions are characterized by more profound immune suppression than primary tumors. The increase in PDCD1, LAG3, TIGIT, and HAVCR2 expression may reflect activation of multiple non-redundant inhibitory pathways that collectively impair anti-tumor immune responses.</w:t>
      </w:r>
    </w:p>
    <w:p w14:paraId="35BBFF4E" w14:textId="77777777" w:rsidR="00601FB3" w:rsidRPr="00601FB3" w:rsidRDefault="00601FB3" w:rsidP="00601FB3">
      <w:r w:rsidRPr="00601FB3">
        <w:t>To quantify immune dysfunction, a composite exhaustion score was developed based on six established exhaustion-associated genes. Exhaustion scores were significantly higher in exhausted CD8+ T cells than in cytotoxic CD8+ T cells and increased progressively from normal lung tissue to primary tumors and brain metastases. The highest exhaustion scores were observed in metastatic lesions, suggesting that immune dysfunction intensifies during disease progression. This finding may have clinical implications because highly exhausted T-cell populations could influence responsiveness to immune checkpoint blockade and combination immunotherapy strategies.</w:t>
      </w:r>
    </w:p>
    <w:p w14:paraId="083E1A26" w14:textId="77777777" w:rsidR="00601FB3" w:rsidRPr="00601FB3" w:rsidRDefault="00601FB3" w:rsidP="00601FB3">
      <w:r w:rsidRPr="00601FB3">
        <w:t xml:space="preserve">In addition to lymphoid remodeling, substantial changes were observed within the myeloid compartment. Normal lung tissue was dominated by alveolar macrophages, whereas primary tumors and brain metastases showed dramatic expansion of monocyte-derived macrophages. Tumor-associated macrophages have been implicated in angiogenesis, extracellular matrix remodeling, immune suppression, and metastatic dissemination. The observed shift from tissue-resident alveolar </w:t>
      </w:r>
      <w:r w:rsidRPr="00601FB3">
        <w:lastRenderedPageBreak/>
        <w:t>macrophages to monocyte-derived macrophages may therefore represent an important mechanism contributing to the establishment of an immunosuppressive metastatic microenvironment.</w:t>
      </w:r>
    </w:p>
    <w:p w14:paraId="517DC9DE" w14:textId="77777777" w:rsidR="00601FB3" w:rsidRPr="00601FB3" w:rsidRDefault="00601FB3" w:rsidP="00601FB3">
      <w:r w:rsidRPr="00601FB3">
        <w:t>The present study extends previous single-cell investigations of NSCLC by integrating analyses of cellular composition, T-cell states, macrophage remodeling, immune checkpoint expression, and exhaustion-associated transcriptional programs within a single analytical framework. While previous reports have described immune heterogeneity in NSCLC, the present findings specifically highlight progressive immune exhaustion as a defining feature of brain metastatic disease.</w:t>
      </w:r>
    </w:p>
    <w:p w14:paraId="61B62DFA" w14:textId="77777777" w:rsidR="00601FB3" w:rsidRPr="00601FB3" w:rsidRDefault="00601FB3" w:rsidP="00601FB3">
      <w:r w:rsidRPr="00601FB3">
        <w:t>Several limitations should be acknowledged. First, the study was based on a publicly available dataset and therefore relied on previously generated sequencing data and annotations. Second, the analyses were computational and require experimental validation using independent patient cohorts. Third, the exhaustion score developed in this study has not yet been validated as a prognostic or predictive biomarker. Future studies integrating additional single-cell cohorts, spatial transcriptomics, and clinical outcome data may further clarify the biological and therapeutic significance of immune exhaustion during metastatic progression.</w:t>
      </w:r>
    </w:p>
    <w:p w14:paraId="250EB1FA" w14:textId="77777777" w:rsidR="00601FB3" w:rsidRPr="00601FB3" w:rsidRDefault="00601FB3" w:rsidP="00601FB3">
      <w:r w:rsidRPr="00601FB3">
        <w:t>In conclusion, NSCLC progression is accompanied by extensive immune microenvironment remodeling characterized by depletion of cytotoxic T cells, accumulation of exhausted CD8+ T cells and regulatory T cells, macrophage reprogramming, and increased immune checkpoint activity. Brain metastases exhibited the strongest exhaustion phenotype, supporting the hypothesis that progressive immune dysfunction is a critical mechanism underlying metastatic progression. These findings provide additional evidence that immune checkpoint-associated pathways represent promising therapeutic targets in advanced NSCLC and brain metastatic disease.</w:t>
      </w:r>
    </w:p>
    <w:p w14:paraId="7F0F5C9D" w14:textId="77777777" w:rsidR="00A511F0" w:rsidRDefault="00A511F0"/>
    <w:sectPr w:rsidR="00A51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F0"/>
    <w:rsid w:val="00601FB3"/>
    <w:rsid w:val="00A511F0"/>
    <w:rsid w:val="00BD2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19D11-68FC-47B8-8C56-C186A620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1F0"/>
    <w:rPr>
      <w:rFonts w:eastAsiaTheme="majorEastAsia" w:cstheme="majorBidi"/>
      <w:color w:val="272727" w:themeColor="text1" w:themeTint="D8"/>
    </w:rPr>
  </w:style>
  <w:style w:type="paragraph" w:styleId="Title">
    <w:name w:val="Title"/>
    <w:basedOn w:val="Normal"/>
    <w:next w:val="Normal"/>
    <w:link w:val="TitleChar"/>
    <w:uiPriority w:val="10"/>
    <w:qFormat/>
    <w:rsid w:val="00A5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1F0"/>
    <w:pPr>
      <w:spacing w:before="160"/>
      <w:jc w:val="center"/>
    </w:pPr>
    <w:rPr>
      <w:i/>
      <w:iCs/>
      <w:color w:val="404040" w:themeColor="text1" w:themeTint="BF"/>
    </w:rPr>
  </w:style>
  <w:style w:type="character" w:customStyle="1" w:styleId="QuoteChar">
    <w:name w:val="Quote Char"/>
    <w:basedOn w:val="DefaultParagraphFont"/>
    <w:link w:val="Quote"/>
    <w:uiPriority w:val="29"/>
    <w:rsid w:val="00A511F0"/>
    <w:rPr>
      <w:i/>
      <w:iCs/>
      <w:color w:val="404040" w:themeColor="text1" w:themeTint="BF"/>
    </w:rPr>
  </w:style>
  <w:style w:type="paragraph" w:styleId="ListParagraph">
    <w:name w:val="List Paragraph"/>
    <w:basedOn w:val="Normal"/>
    <w:uiPriority w:val="34"/>
    <w:qFormat/>
    <w:rsid w:val="00A511F0"/>
    <w:pPr>
      <w:ind w:left="720"/>
      <w:contextualSpacing/>
    </w:pPr>
  </w:style>
  <w:style w:type="character" w:styleId="IntenseEmphasis">
    <w:name w:val="Intense Emphasis"/>
    <w:basedOn w:val="DefaultParagraphFont"/>
    <w:uiPriority w:val="21"/>
    <w:qFormat/>
    <w:rsid w:val="00A511F0"/>
    <w:rPr>
      <w:i/>
      <w:iCs/>
      <w:color w:val="0F4761" w:themeColor="accent1" w:themeShade="BF"/>
    </w:rPr>
  </w:style>
  <w:style w:type="paragraph" w:styleId="IntenseQuote">
    <w:name w:val="Intense Quote"/>
    <w:basedOn w:val="Normal"/>
    <w:next w:val="Normal"/>
    <w:link w:val="IntenseQuoteChar"/>
    <w:uiPriority w:val="30"/>
    <w:qFormat/>
    <w:rsid w:val="00A5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1F0"/>
    <w:rPr>
      <w:i/>
      <w:iCs/>
      <w:color w:val="0F4761" w:themeColor="accent1" w:themeShade="BF"/>
    </w:rPr>
  </w:style>
  <w:style w:type="character" w:styleId="IntenseReference">
    <w:name w:val="Intense Reference"/>
    <w:basedOn w:val="DefaultParagraphFont"/>
    <w:uiPriority w:val="32"/>
    <w:qFormat/>
    <w:rsid w:val="00A51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746</Words>
  <Characters>3969</Characters>
  <Application>Microsoft Office Word</Application>
  <DocSecurity>0</DocSecurity>
  <Lines>84</Lines>
  <Paragraphs>68</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2</cp:revision>
  <dcterms:created xsi:type="dcterms:W3CDTF">2026-06-16T20:58:00Z</dcterms:created>
  <dcterms:modified xsi:type="dcterms:W3CDTF">2026-06-16T21:00:00Z</dcterms:modified>
</cp:coreProperties>
</file>