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BF54" w14:textId="77777777" w:rsidR="00621438" w:rsidRPr="00621438" w:rsidRDefault="00621438" w:rsidP="00621438">
      <w:pPr>
        <w:rPr>
          <w:b/>
          <w:bCs/>
        </w:rPr>
      </w:pPr>
      <w:r w:rsidRPr="00621438">
        <w:rPr>
          <w:b/>
          <w:bCs/>
        </w:rPr>
        <w:t>Introduction</w:t>
      </w:r>
    </w:p>
    <w:p w14:paraId="14CEAC52" w14:textId="77777777" w:rsidR="00621438" w:rsidRPr="00621438" w:rsidRDefault="00621438" w:rsidP="00621438">
      <w:r w:rsidRPr="00621438">
        <w:t>Lung cancer remains the leading cause of cancer-related mortality worldwide, accounting for more deaths than breast, colorectal, and prostate cancers combined. Non-small cell lung cancer (NSCLC) represents approximately 85% of all lung cancer cases and is frequently diagnosed at advanced stages, when therapeutic options are limited and prognosis is poor. Despite substantial advances in targeted therapies and immune checkpoint inhibitors, metastatic disease remains a major clinical challenge.</w:t>
      </w:r>
    </w:p>
    <w:p w14:paraId="57B57F1C" w14:textId="77777777" w:rsidR="00621438" w:rsidRPr="00621438" w:rsidRDefault="00621438" w:rsidP="00621438">
      <w:r w:rsidRPr="00621438">
        <w:t>Brain metastases are among the most common and devastating complications of advanced NSCLC. Approximately 20–40% of patients with NSCLC develop brain metastases during the course of their disease. The presence of brain metastases is associated with significantly reduced survival and diminished quality of life. Although immune checkpoint blockade has improved outcomes in selected patients, the biological mechanisms that promote immune evasion and metastatic progression remain incompletely understood.</w:t>
      </w:r>
    </w:p>
    <w:p w14:paraId="68DA2D49" w14:textId="77777777" w:rsidR="00621438" w:rsidRPr="00621438" w:rsidRDefault="00621438" w:rsidP="00621438">
      <w:r w:rsidRPr="00621438">
        <w:t>The tumor microenvironment (TME) plays a central role in cancer progression and therapeutic resistance. Tumor-infiltrating immune cells, including T lymphocytes, macrophages, dendritic cells, and natural killer (NK) cells, interact dynamically with malignant cells and contribute to either anti-tumor immunity or immune suppression. Increasing evidence suggests that progressive dysfunction of cytotoxic T cells and expansion of immunosuppressive cell populations represent key mechanisms of tumor immune escape.</w:t>
      </w:r>
    </w:p>
    <w:p w14:paraId="15083ABD" w14:textId="77777777" w:rsidR="00621438" w:rsidRPr="00621438" w:rsidRDefault="00621438" w:rsidP="00621438">
      <w:r w:rsidRPr="00621438">
        <w:t>Among immune cell populations, exhausted CD8+ T cells have emerged as critical mediators of impaired anti-tumor immunity. T-cell exhaustion is characterized by reduced effector function and increased expression of inhibitory receptors such as programmed cell death protein 1 (PD-1), cytotoxic T-lymphocyte-associated protein 4 (CTLA-4), lymphocyte activation gene 3 (LAG-3), T-cell immunoreceptor with Ig and ITIM domains (TIGIT), and T-cell immunoglobulin and mucin domain-containing protein 3 (TIM-3/HAVCR2). In parallel, regulatory T cells (Tregs) contribute to immune suppression through inhibitory cytokine production and checkpoint receptor expression.</w:t>
      </w:r>
    </w:p>
    <w:p w14:paraId="77C229BE" w14:textId="77777777" w:rsidR="00621438" w:rsidRPr="00621438" w:rsidRDefault="00621438" w:rsidP="00621438">
      <w:r w:rsidRPr="00621438">
        <w:t>Macrophages also play a crucial role in shaping the tumor microenvironment. Tumor-associated macrophages are frequently associated with tumor progression, angiogenesis, metastasis, and resistance to therapy. Previous studies have demonstrated substantial heterogeneity among macrophage populations, including tissue-resident alveolar macrophages and monocyte-derived macrophages that accumulate within tumors.</w:t>
      </w:r>
    </w:p>
    <w:p w14:paraId="6EC849FE" w14:textId="77777777" w:rsidR="00621438" w:rsidRPr="00621438" w:rsidRDefault="00621438" w:rsidP="00621438">
      <w:r w:rsidRPr="00621438">
        <w:t xml:space="preserve">Recent advances in single-cell RNA sequencing (scRNA-seq) have enabled comprehensive characterization of tumor ecosystems at unprecedented resolution. By profiling individual cells, scRNA-seq provides an opportunity to identify cellular states, </w:t>
      </w:r>
      <w:r w:rsidRPr="00621438">
        <w:lastRenderedPageBreak/>
        <w:t>immune dysfunction programs, and microenvironmental changes associated with tumor progression and metastasis.</w:t>
      </w:r>
    </w:p>
    <w:p w14:paraId="14CB8BBD" w14:textId="77777777" w:rsidR="00621438" w:rsidRPr="00621438" w:rsidRDefault="00621438" w:rsidP="00621438">
      <w:r w:rsidRPr="00621438">
        <w:t>In the present study, we performed a comprehensive single-cell transcriptomic analysis of 208,506 cells from the GSE131907 dataset to characterize immune microenvironment remodeling during NSCLC progression. We focused on changes in cellular composition, T-cell states, macrophage populations, immune checkpoint expression, and exhaustion-associated transcriptional programs across normal lung tissue, primary tumors, and brain metastases. Our findings reveal progressive immune dysfunction characterized by expansion of exhausted CD8+ T cells, accumulation of regulatory T cells, macrophage remodeling, and enhanced immune checkpoint activity in metastatic lesions.</w:t>
      </w:r>
    </w:p>
    <w:p w14:paraId="6A3AEB59" w14:textId="77777777" w:rsidR="00355118" w:rsidRDefault="00355118"/>
    <w:sectPr w:rsidR="00355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118"/>
    <w:rsid w:val="00355118"/>
    <w:rsid w:val="00621438"/>
    <w:rsid w:val="00BD2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589AD-83AA-4E4D-8E6A-ADB34460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118"/>
    <w:rPr>
      <w:rFonts w:eastAsiaTheme="majorEastAsia" w:cstheme="majorBidi"/>
      <w:color w:val="272727" w:themeColor="text1" w:themeTint="D8"/>
    </w:rPr>
  </w:style>
  <w:style w:type="paragraph" w:styleId="Title">
    <w:name w:val="Title"/>
    <w:basedOn w:val="Normal"/>
    <w:next w:val="Normal"/>
    <w:link w:val="TitleChar"/>
    <w:uiPriority w:val="10"/>
    <w:qFormat/>
    <w:rsid w:val="00355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118"/>
    <w:pPr>
      <w:spacing w:before="160"/>
      <w:jc w:val="center"/>
    </w:pPr>
    <w:rPr>
      <w:i/>
      <w:iCs/>
      <w:color w:val="404040" w:themeColor="text1" w:themeTint="BF"/>
    </w:rPr>
  </w:style>
  <w:style w:type="character" w:customStyle="1" w:styleId="QuoteChar">
    <w:name w:val="Quote Char"/>
    <w:basedOn w:val="DefaultParagraphFont"/>
    <w:link w:val="Quote"/>
    <w:uiPriority w:val="29"/>
    <w:rsid w:val="00355118"/>
    <w:rPr>
      <w:i/>
      <w:iCs/>
      <w:color w:val="404040" w:themeColor="text1" w:themeTint="BF"/>
    </w:rPr>
  </w:style>
  <w:style w:type="paragraph" w:styleId="ListParagraph">
    <w:name w:val="List Paragraph"/>
    <w:basedOn w:val="Normal"/>
    <w:uiPriority w:val="34"/>
    <w:qFormat/>
    <w:rsid w:val="00355118"/>
    <w:pPr>
      <w:ind w:left="720"/>
      <w:contextualSpacing/>
    </w:pPr>
  </w:style>
  <w:style w:type="character" w:styleId="IntenseEmphasis">
    <w:name w:val="Intense Emphasis"/>
    <w:basedOn w:val="DefaultParagraphFont"/>
    <w:uiPriority w:val="21"/>
    <w:qFormat/>
    <w:rsid w:val="00355118"/>
    <w:rPr>
      <w:i/>
      <w:iCs/>
      <w:color w:val="0F4761" w:themeColor="accent1" w:themeShade="BF"/>
    </w:rPr>
  </w:style>
  <w:style w:type="paragraph" w:styleId="IntenseQuote">
    <w:name w:val="Intense Quote"/>
    <w:basedOn w:val="Normal"/>
    <w:next w:val="Normal"/>
    <w:link w:val="IntenseQuoteChar"/>
    <w:uiPriority w:val="30"/>
    <w:qFormat/>
    <w:rsid w:val="00355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118"/>
    <w:rPr>
      <w:i/>
      <w:iCs/>
      <w:color w:val="0F4761" w:themeColor="accent1" w:themeShade="BF"/>
    </w:rPr>
  </w:style>
  <w:style w:type="character" w:styleId="IntenseReference">
    <w:name w:val="Intense Reference"/>
    <w:basedOn w:val="DefaultParagraphFont"/>
    <w:uiPriority w:val="32"/>
    <w:qFormat/>
    <w:rsid w:val="003551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3130</Characters>
  <Application>Microsoft Office Word</Application>
  <DocSecurity>0</DocSecurity>
  <Lines>89</Lines>
  <Paragraphs>100</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2</cp:revision>
  <dcterms:created xsi:type="dcterms:W3CDTF">2026-06-16T20:56:00Z</dcterms:created>
  <dcterms:modified xsi:type="dcterms:W3CDTF">2026-06-16T20:57:00Z</dcterms:modified>
</cp:coreProperties>
</file>