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41FC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 Materials and Methods</w:t>
      </w:r>
    </w:p>
    <w:p w14:paraId="4A9B30A5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2.1 Data acquisition</w:t>
      </w:r>
    </w:p>
    <w:p w14:paraId="3EA60A73" w14:textId="77777777" w:rsidR="00933B85" w:rsidRPr="00933B85" w:rsidRDefault="00933B85" w:rsidP="00933B85">
      <w:r w:rsidRPr="00933B85">
        <w:t xml:space="preserve">Single-cell RNA sequencing (scRNA-seq) data were obtained from the Gene Expression Omnibus (GEO) database under accession number </w:t>
      </w:r>
      <w:r w:rsidRPr="00933B85">
        <w:rPr>
          <w:b/>
          <w:bCs/>
        </w:rPr>
        <w:t>GSE131907</w:t>
      </w:r>
      <w:r w:rsidRPr="00933B85">
        <w:t xml:space="preserve">. The dataset contains transcriptomic profiles of </w:t>
      </w:r>
      <w:r w:rsidRPr="00933B85">
        <w:rPr>
          <w:b/>
          <w:bCs/>
        </w:rPr>
        <w:t>208,506 cells</w:t>
      </w:r>
      <w:r w:rsidRPr="00933B85">
        <w:t xml:space="preserve"> derived from normal lung tissue, primary non-small cell lung cancer (NSCLC), lymph node lesions, pleural effusions, and brain metastases. Cell-type annotations provided by the original study were used for downstream analyses.</w:t>
      </w:r>
    </w:p>
    <w:p w14:paraId="02EBB5D2" w14:textId="77777777" w:rsidR="00933B85" w:rsidRPr="00933B85" w:rsidRDefault="00933B85" w:rsidP="00933B85">
      <w:r w:rsidRPr="00933B85">
        <w:pict w14:anchorId="59EDE993">
          <v:rect id="_x0000_i1067" style="width:0;height:1.5pt" o:hralign="center" o:hrstd="t" o:hr="t" fillcolor="#a0a0a0" stroked="f"/>
        </w:pict>
      </w:r>
    </w:p>
    <w:p w14:paraId="27AAFD2D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2.2 Data processing</w:t>
      </w:r>
    </w:p>
    <w:p w14:paraId="65BF708E" w14:textId="77777777" w:rsidR="00933B85" w:rsidRPr="00933B85" w:rsidRDefault="00933B85" w:rsidP="00933B85">
      <w:r w:rsidRPr="00933B85">
        <w:t xml:space="preserve">The raw UMI count matrix and accompanying cell annotation files were downloaded from GEO and imported into Python for analysis. Gene expression matrices and cell metadata were processed using the </w:t>
      </w:r>
      <w:proofErr w:type="gramStart"/>
      <w:r w:rsidRPr="00933B85">
        <w:rPr>
          <w:b/>
          <w:bCs/>
        </w:rPr>
        <w:t>pandas</w:t>
      </w:r>
      <w:proofErr w:type="gramEnd"/>
      <w:r w:rsidRPr="00933B85">
        <w:t xml:space="preserve"> library (version 2.x). Cell annotations were matched to expression profiles using unique cell barcodes.</w:t>
      </w:r>
    </w:p>
    <w:p w14:paraId="7C4DD3D2" w14:textId="77777777" w:rsidR="00933B85" w:rsidRPr="00933B85" w:rsidRDefault="00933B85" w:rsidP="00933B85">
      <w:r w:rsidRPr="00933B85">
        <w:t>Major cell populations, including B lymphocytes, T lymphocytes, myeloid cells, epithelial cells, endothelial cells, fibroblasts, mast cells, NK cells, and oligodendrocytes, were identified according to the provided annotations.</w:t>
      </w:r>
    </w:p>
    <w:p w14:paraId="50C41021" w14:textId="77777777" w:rsidR="00933B85" w:rsidRPr="00933B85" w:rsidRDefault="00933B85" w:rsidP="00933B85">
      <w:r w:rsidRPr="00933B85">
        <w:pict w14:anchorId="1726851F">
          <v:rect id="_x0000_i1068" style="width:0;height:1.5pt" o:hralign="center" o:hrstd="t" o:hr="t" fillcolor="#a0a0a0" stroked="f"/>
        </w:pict>
      </w:r>
    </w:p>
    <w:p w14:paraId="0CABB11C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2.3 Analysis of immune cell composition</w:t>
      </w:r>
    </w:p>
    <w:p w14:paraId="31B640F6" w14:textId="77777777" w:rsidR="00933B85" w:rsidRPr="00933B85" w:rsidRDefault="00933B85" w:rsidP="00933B85">
      <w:r w:rsidRPr="00933B85">
        <w:t>Cellular composition was quantified by calculating the number and percentage of cells belonging to each major cell type across different anatomical sites. Comparisons focused on normal lung tissue (</w:t>
      </w:r>
      <w:proofErr w:type="spellStart"/>
      <w:r w:rsidRPr="00933B85">
        <w:t>nLung</w:t>
      </w:r>
      <w:proofErr w:type="spellEnd"/>
      <w:r w:rsidRPr="00933B85">
        <w:t>), primary lung tumors (</w:t>
      </w:r>
      <w:proofErr w:type="spellStart"/>
      <w:r w:rsidRPr="00933B85">
        <w:t>tLung</w:t>
      </w:r>
      <w:proofErr w:type="spellEnd"/>
      <w:r w:rsidRPr="00933B85">
        <w:t>), and brain metastases (</w:t>
      </w:r>
      <w:proofErr w:type="spellStart"/>
      <w:r w:rsidRPr="00933B85">
        <w:t>mBrain</w:t>
      </w:r>
      <w:proofErr w:type="spellEnd"/>
      <w:r w:rsidRPr="00933B85">
        <w:t>). Relative abundances were visualized using stacked bar plots.</w:t>
      </w:r>
    </w:p>
    <w:p w14:paraId="37E6E347" w14:textId="77777777" w:rsidR="00933B85" w:rsidRPr="00933B85" w:rsidRDefault="00933B85" w:rsidP="00933B85">
      <w:r w:rsidRPr="00933B85">
        <w:pict w14:anchorId="3BCDAC23">
          <v:rect id="_x0000_i1069" style="width:0;height:1.5pt" o:hralign="center" o:hrstd="t" o:hr="t" fillcolor="#a0a0a0" stroked="f"/>
        </w:pict>
      </w:r>
    </w:p>
    <w:p w14:paraId="2FA9E054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2.4 T-cell state analysis</w:t>
      </w:r>
    </w:p>
    <w:p w14:paraId="230FBF93" w14:textId="77777777" w:rsidR="00933B85" w:rsidRPr="00933B85" w:rsidRDefault="00933B85" w:rsidP="00933B85">
      <w:r w:rsidRPr="00933B85">
        <w:t>T-cell populations were classified according to the original annotations into functional subtypes, including:</w:t>
      </w:r>
    </w:p>
    <w:p w14:paraId="2E3521B3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t xml:space="preserve">Cytotoxic CD8+ T cells </w:t>
      </w:r>
    </w:p>
    <w:p w14:paraId="475AABD0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t xml:space="preserve">Exhausted CD8+ T cells </w:t>
      </w:r>
    </w:p>
    <w:p w14:paraId="7C7E37F4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t xml:space="preserve">Regulatory T cells (Tregs) </w:t>
      </w:r>
    </w:p>
    <w:p w14:paraId="11359357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t xml:space="preserve">Naïve CD4+ T cells </w:t>
      </w:r>
    </w:p>
    <w:p w14:paraId="4F622248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t xml:space="preserve">Naïve CD8+ T cells </w:t>
      </w:r>
    </w:p>
    <w:p w14:paraId="02CA0E69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lastRenderedPageBreak/>
        <w:t xml:space="preserve">CD4+ helper T cells </w:t>
      </w:r>
    </w:p>
    <w:p w14:paraId="1C9774FD" w14:textId="77777777" w:rsidR="00933B85" w:rsidRPr="00933B85" w:rsidRDefault="00933B85" w:rsidP="00933B85">
      <w:pPr>
        <w:numPr>
          <w:ilvl w:val="0"/>
          <w:numId w:val="1"/>
        </w:numPr>
      </w:pPr>
      <w:r w:rsidRPr="00933B85">
        <w:t xml:space="preserve">Additional annotated T-cell states </w:t>
      </w:r>
    </w:p>
    <w:p w14:paraId="796FD325" w14:textId="77777777" w:rsidR="00933B85" w:rsidRPr="00933B85" w:rsidRDefault="00933B85" w:rsidP="00933B85">
      <w:r w:rsidRPr="00933B85">
        <w:t>The relative distribution of T-cell subtypes across disease stages was calculated using cross-tabulation and percentage normalization.</w:t>
      </w:r>
    </w:p>
    <w:p w14:paraId="52041CFD" w14:textId="77777777" w:rsidR="00933B85" w:rsidRPr="00933B85" w:rsidRDefault="00933B85" w:rsidP="00933B85">
      <w:r w:rsidRPr="00933B85">
        <w:pict w14:anchorId="5C518531">
          <v:rect id="_x0000_i1070" style="width:0;height:1.5pt" o:hralign="center" o:hrstd="t" o:hr="t" fillcolor="#a0a0a0" stroked="f"/>
        </w:pict>
      </w:r>
    </w:p>
    <w:p w14:paraId="02D8FB24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2.5 Myeloid cell analysis</w:t>
      </w:r>
    </w:p>
    <w:p w14:paraId="592756C3" w14:textId="77777777" w:rsidR="00933B85" w:rsidRPr="00933B85" w:rsidRDefault="00933B85" w:rsidP="00933B85">
      <w:r w:rsidRPr="00933B85">
        <w:t xml:space="preserve">Myeloid cells were </w:t>
      </w:r>
      <w:proofErr w:type="spellStart"/>
      <w:r w:rsidRPr="00933B85">
        <w:t>analyzed</w:t>
      </w:r>
      <w:proofErr w:type="spellEnd"/>
      <w:r w:rsidRPr="00933B85">
        <w:t xml:space="preserve"> according to their annotated subtypes, including alveolar macrophages, monocyte-derived macrophages (</w:t>
      </w:r>
      <w:proofErr w:type="spellStart"/>
      <w:r w:rsidRPr="00933B85">
        <w:t>mo</w:t>
      </w:r>
      <w:proofErr w:type="spellEnd"/>
      <w:r w:rsidRPr="00933B85">
        <w:t>-Macs), monocytes, dendritic cells, and other myeloid populations. Changes in myeloid composition across disease progression were quantified and visualized.</w:t>
      </w:r>
    </w:p>
    <w:p w14:paraId="55386A02" w14:textId="77777777" w:rsidR="00933B85" w:rsidRPr="00933B85" w:rsidRDefault="00933B85" w:rsidP="00933B85">
      <w:r w:rsidRPr="00933B85">
        <w:pict w14:anchorId="3E6F97C5">
          <v:rect id="_x0000_i1071" style="width:0;height:1.5pt" o:hralign="center" o:hrstd="t" o:hr="t" fillcolor="#a0a0a0" stroked="f"/>
        </w:pict>
      </w:r>
    </w:p>
    <w:p w14:paraId="7047A02C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2.6 Immune exhaustion marker analysis</w:t>
      </w:r>
    </w:p>
    <w:p w14:paraId="06D8A2D6" w14:textId="77777777" w:rsidR="00933B85" w:rsidRPr="00933B85" w:rsidRDefault="00933B85" w:rsidP="00933B85">
      <w:r w:rsidRPr="00933B85">
        <w:t>To evaluate T-cell dysfunction, expression of established immune exhaustion markers was examined:</w:t>
      </w:r>
    </w:p>
    <w:p w14:paraId="3FEBA01E" w14:textId="77777777" w:rsidR="00933B85" w:rsidRPr="00933B85" w:rsidRDefault="00933B85" w:rsidP="00933B85">
      <w:pPr>
        <w:numPr>
          <w:ilvl w:val="0"/>
          <w:numId w:val="2"/>
        </w:numPr>
      </w:pPr>
      <w:r w:rsidRPr="00933B85">
        <w:t xml:space="preserve">PDCD1 (PD-1) </w:t>
      </w:r>
    </w:p>
    <w:p w14:paraId="4D6A7777" w14:textId="77777777" w:rsidR="00933B85" w:rsidRPr="00933B85" w:rsidRDefault="00933B85" w:rsidP="00933B85">
      <w:pPr>
        <w:numPr>
          <w:ilvl w:val="0"/>
          <w:numId w:val="2"/>
        </w:numPr>
      </w:pPr>
      <w:r w:rsidRPr="00933B85">
        <w:t xml:space="preserve">CTLA4 </w:t>
      </w:r>
    </w:p>
    <w:p w14:paraId="0875DE89" w14:textId="77777777" w:rsidR="00933B85" w:rsidRPr="00933B85" w:rsidRDefault="00933B85" w:rsidP="00933B85">
      <w:pPr>
        <w:numPr>
          <w:ilvl w:val="0"/>
          <w:numId w:val="2"/>
        </w:numPr>
      </w:pPr>
      <w:r w:rsidRPr="00933B85">
        <w:t xml:space="preserve">LAG3 </w:t>
      </w:r>
    </w:p>
    <w:p w14:paraId="2CE6DA21" w14:textId="77777777" w:rsidR="00933B85" w:rsidRPr="00933B85" w:rsidRDefault="00933B85" w:rsidP="00933B85">
      <w:pPr>
        <w:numPr>
          <w:ilvl w:val="0"/>
          <w:numId w:val="2"/>
        </w:numPr>
      </w:pPr>
      <w:r w:rsidRPr="00933B85">
        <w:t xml:space="preserve">TIGIT </w:t>
      </w:r>
    </w:p>
    <w:p w14:paraId="2F4AEBD9" w14:textId="77777777" w:rsidR="00933B85" w:rsidRPr="00933B85" w:rsidRDefault="00933B85" w:rsidP="00933B85">
      <w:pPr>
        <w:numPr>
          <w:ilvl w:val="0"/>
          <w:numId w:val="2"/>
        </w:numPr>
      </w:pPr>
      <w:r w:rsidRPr="00933B85">
        <w:t xml:space="preserve">HAVCR2 (TIM-3) </w:t>
      </w:r>
    </w:p>
    <w:p w14:paraId="68469EB9" w14:textId="77777777" w:rsidR="00933B85" w:rsidRPr="00933B85" w:rsidRDefault="00933B85" w:rsidP="00933B85">
      <w:pPr>
        <w:numPr>
          <w:ilvl w:val="0"/>
          <w:numId w:val="2"/>
        </w:numPr>
      </w:pPr>
      <w:r w:rsidRPr="00933B85">
        <w:t xml:space="preserve">TOX </w:t>
      </w:r>
    </w:p>
    <w:p w14:paraId="78441691" w14:textId="77777777" w:rsidR="00933B85" w:rsidRPr="00933B85" w:rsidRDefault="00933B85" w:rsidP="00933B85">
      <w:r w:rsidRPr="00933B85">
        <w:t>Mean expression levels of these genes were calculated for Cytotoxic CD8+ T cells, Exhausted CD8+ T cells, and Tregs. Heatmaps and bar plots were generated to visualize exhaustion-associated transcriptional programs.</w:t>
      </w:r>
    </w:p>
    <w:p w14:paraId="6722A013" w14:textId="77777777" w:rsidR="00933B85" w:rsidRPr="00933B85" w:rsidRDefault="00933B85" w:rsidP="00933B85">
      <w:r w:rsidRPr="00933B85">
        <w:pict w14:anchorId="5A1E3AC7">
          <v:rect id="_x0000_i1072" style="width:0;height:1.5pt" o:hralign="center" o:hrstd="t" o:hr="t" fillcolor="#a0a0a0" stroked="f"/>
        </w:pict>
      </w:r>
    </w:p>
    <w:p w14:paraId="3663EC38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2.7 Exhaustion score calculation</w:t>
      </w:r>
    </w:p>
    <w:p w14:paraId="3269E8BA" w14:textId="77777777" w:rsidR="00933B85" w:rsidRPr="00933B85" w:rsidRDefault="00933B85" w:rsidP="00933B85">
      <w:r w:rsidRPr="00933B85">
        <w:t>An immune exhaustion score was calculated for each T cell as the sum of normalized expression values of the six exhaustion-associated genes (PDCD1, CTLA4, LAG3, TIGIT, HAVCR2, and TOX). Mean exhaustion scores were subsequently compared across T-cell subtypes and disease stages.</w:t>
      </w:r>
    </w:p>
    <w:p w14:paraId="2411ECE2" w14:textId="77777777" w:rsidR="00933B85" w:rsidRPr="00933B85" w:rsidRDefault="00933B85" w:rsidP="00933B85">
      <w:r w:rsidRPr="00933B85">
        <w:pict w14:anchorId="54C1D8CE">
          <v:rect id="_x0000_i1073" style="width:0;height:1.5pt" o:hralign="center" o:hrstd="t" o:hr="t" fillcolor="#a0a0a0" stroked="f"/>
        </w:pict>
      </w:r>
    </w:p>
    <w:p w14:paraId="5EB94E40" w14:textId="77777777" w:rsidR="00933B85" w:rsidRPr="00933B85" w:rsidRDefault="00933B85" w:rsidP="00933B85">
      <w:pPr>
        <w:rPr>
          <w:b/>
          <w:bCs/>
        </w:rPr>
      </w:pPr>
      <w:r w:rsidRPr="00933B85">
        <w:rPr>
          <w:b/>
          <w:bCs/>
        </w:rPr>
        <w:t>2.8 Statistical analysis</w:t>
      </w:r>
    </w:p>
    <w:p w14:paraId="05FBD747" w14:textId="77777777" w:rsidR="00933B85" w:rsidRPr="00933B85" w:rsidRDefault="00933B85" w:rsidP="00933B85">
      <w:r w:rsidRPr="00933B85">
        <w:lastRenderedPageBreak/>
        <w:t xml:space="preserve">Statistical comparisons between groups were performed using the </w:t>
      </w:r>
      <w:r w:rsidRPr="00933B85">
        <w:rPr>
          <w:b/>
          <w:bCs/>
        </w:rPr>
        <w:t>Mann–Whitney U test</w:t>
      </w:r>
      <w:r w:rsidRPr="00933B85">
        <w:t>, a non-parametric method appropriate for single-cell gene expression data. P-values below 0.05 were considered statistically significant.</w:t>
      </w:r>
    </w:p>
    <w:p w14:paraId="297E7318" w14:textId="77777777" w:rsidR="00933B85" w:rsidRPr="00933B85" w:rsidRDefault="00933B85" w:rsidP="00933B85">
      <w:r w:rsidRPr="00933B85">
        <w:t xml:space="preserve">All analyses were conducted using </w:t>
      </w:r>
      <w:r w:rsidRPr="00933B85">
        <w:rPr>
          <w:b/>
          <w:bCs/>
        </w:rPr>
        <w:t>Python 3.13</w:t>
      </w:r>
      <w:r w:rsidRPr="00933B85">
        <w:t xml:space="preserve">, including the libraries </w:t>
      </w:r>
      <w:r w:rsidRPr="00933B85">
        <w:rPr>
          <w:b/>
          <w:bCs/>
        </w:rPr>
        <w:t>pandas</w:t>
      </w:r>
      <w:r w:rsidRPr="00933B85">
        <w:t xml:space="preserve">, </w:t>
      </w:r>
      <w:r w:rsidRPr="00933B85">
        <w:rPr>
          <w:b/>
          <w:bCs/>
        </w:rPr>
        <w:t>NumPy</w:t>
      </w:r>
      <w:r w:rsidRPr="00933B85">
        <w:t xml:space="preserve">, </w:t>
      </w:r>
      <w:r w:rsidRPr="00933B85">
        <w:rPr>
          <w:b/>
          <w:bCs/>
        </w:rPr>
        <w:t>SciPy</w:t>
      </w:r>
      <w:r w:rsidRPr="00933B85">
        <w:t xml:space="preserve">, and </w:t>
      </w:r>
      <w:r w:rsidRPr="00933B85">
        <w:rPr>
          <w:b/>
          <w:bCs/>
        </w:rPr>
        <w:t>Matplotlib</w:t>
      </w:r>
      <w:r w:rsidRPr="00933B85">
        <w:t>.</w:t>
      </w:r>
    </w:p>
    <w:p w14:paraId="7C5F7EE8" w14:textId="77777777" w:rsidR="00D4456E" w:rsidRDefault="00D4456E"/>
    <w:sectPr w:rsidR="00D445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BC0"/>
    <w:multiLevelType w:val="multilevel"/>
    <w:tmpl w:val="B52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D432F"/>
    <w:multiLevelType w:val="multilevel"/>
    <w:tmpl w:val="6F326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133383">
    <w:abstractNumId w:val="0"/>
  </w:num>
  <w:num w:numId="2" w16cid:durableId="13446236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56E"/>
    <w:rsid w:val="00933B85"/>
    <w:rsid w:val="00BD21BB"/>
    <w:rsid w:val="00D44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BC5076-9998-4095-9AC6-5BD1FD8A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5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484</Words>
  <Characters>2760</Characters>
  <Application>Microsoft Office Word</Application>
  <DocSecurity>0</DocSecurity>
  <Lines>23</Lines>
  <Paragraphs>6</Paragraphs>
  <ScaleCrop>false</ScaleCrop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AGATA GABARA</dc:creator>
  <cp:keywords/>
  <dc:description/>
  <cp:lastModifiedBy>AGATA GABARA</cp:lastModifiedBy>
  <cp:revision>2</cp:revision>
  <dcterms:created xsi:type="dcterms:W3CDTF">2026-06-16T20:00:00Z</dcterms:created>
  <dcterms:modified xsi:type="dcterms:W3CDTF">2026-06-16T20:00:00Z</dcterms:modified>
</cp:coreProperties>
</file>