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A3A45" w14:textId="77777777" w:rsidR="0003367B" w:rsidRPr="0003367B" w:rsidRDefault="0003367B" w:rsidP="0003367B">
      <w:r w:rsidRPr="0003367B">
        <w:t xml:space="preserve">  Bray, F., Ferlay, J., Soerjomataram, I., Siegel, R.L., Torre, L.A. and Jemal, A. (2018) ‘Global cancer statistics 2018: GLOBOCAN estimates of incidence and mortality worldwide for 36 cancers in 185 countries’, </w:t>
      </w:r>
      <w:r w:rsidRPr="0003367B">
        <w:rPr>
          <w:i/>
          <w:iCs/>
        </w:rPr>
        <w:t>CA: A Cancer Journal for Clinicians</w:t>
      </w:r>
      <w:r w:rsidRPr="0003367B">
        <w:t xml:space="preserve">, 68(6), pp. 394–424. </w:t>
      </w:r>
    </w:p>
    <w:p w14:paraId="382A28FB" w14:textId="77777777" w:rsidR="0003367B" w:rsidRPr="0003367B" w:rsidRDefault="0003367B" w:rsidP="0003367B">
      <w:r w:rsidRPr="0003367B">
        <w:t xml:space="preserve">  Sung, H., Ferlay, J., Siegel, R.L., Laversanne, M., Soerjomataram, I., Jemal, A. and Bray, F. (2021) ‘Global cancer statistics 2020: GLOBOCAN estimates of incidence and mortality worldwide for 36 cancers in 185 countries’, </w:t>
      </w:r>
      <w:r w:rsidRPr="0003367B">
        <w:rPr>
          <w:i/>
          <w:iCs/>
        </w:rPr>
        <w:t>CA: A Cancer Journal for Clinicians</w:t>
      </w:r>
      <w:r w:rsidRPr="0003367B">
        <w:t xml:space="preserve">, 71(3), pp. 209–249. </w:t>
      </w:r>
    </w:p>
    <w:p w14:paraId="4472FCB3" w14:textId="77777777" w:rsidR="0003367B" w:rsidRPr="0003367B" w:rsidRDefault="0003367B" w:rsidP="0003367B">
      <w:r w:rsidRPr="0003367B">
        <w:t xml:space="preserve">  Siegel, R.L., Giaquinto, A.N., Jemal, A. and colleagues (2024) ‘Cancer statistics, 2024’, </w:t>
      </w:r>
      <w:r w:rsidRPr="0003367B">
        <w:rPr>
          <w:i/>
          <w:iCs/>
        </w:rPr>
        <w:t>CA: A Cancer Journal for Clinicians</w:t>
      </w:r>
      <w:r w:rsidRPr="0003367B">
        <w:t xml:space="preserve">, 74(1), pp. 12–49. </w:t>
      </w:r>
    </w:p>
    <w:p w14:paraId="0A553EDD" w14:textId="77777777" w:rsidR="0003367B" w:rsidRPr="0003367B" w:rsidRDefault="0003367B" w:rsidP="0003367B">
      <w:r w:rsidRPr="0003367B">
        <w:t xml:space="preserve">  Herbst, R.S., Morgensztern, D. and Boshoff, C. (2018) ‘The biology and management of non-small cell lung cancer’, </w:t>
      </w:r>
      <w:r w:rsidRPr="0003367B">
        <w:rPr>
          <w:i/>
          <w:iCs/>
        </w:rPr>
        <w:t>Nature</w:t>
      </w:r>
      <w:r w:rsidRPr="0003367B">
        <w:t xml:space="preserve">, 553(7689), pp. 446–454. </w:t>
      </w:r>
    </w:p>
    <w:p w14:paraId="035963FA" w14:textId="77777777" w:rsidR="0003367B" w:rsidRPr="0003367B" w:rsidRDefault="0003367B" w:rsidP="0003367B">
      <w:r w:rsidRPr="0003367B">
        <w:t xml:space="preserve">  Reck, M., Rodríguez-Abreu, D., Robinson, A.G., Hui, R., Csőszi, T., Fülöp, A. </w:t>
      </w:r>
      <w:r w:rsidRPr="0003367B">
        <w:rPr>
          <w:i/>
          <w:iCs/>
        </w:rPr>
        <w:t>et al.</w:t>
      </w:r>
      <w:r w:rsidRPr="0003367B">
        <w:t xml:space="preserve"> (2016) ‘Pembrolizumab versus chemotherapy for PD-L1-positive non-small-cell lung cancer’, </w:t>
      </w:r>
      <w:r w:rsidRPr="0003367B">
        <w:rPr>
          <w:i/>
          <w:iCs/>
        </w:rPr>
        <w:t>New England Journal of Medicine</w:t>
      </w:r>
      <w:r w:rsidRPr="0003367B">
        <w:t xml:space="preserve">, 375(19), pp. 1823–1833. </w:t>
      </w:r>
    </w:p>
    <w:p w14:paraId="175D306F" w14:textId="77777777" w:rsidR="0003367B" w:rsidRPr="0003367B" w:rsidRDefault="0003367B" w:rsidP="0003367B">
      <w:r w:rsidRPr="0003367B">
        <w:t xml:space="preserve">  Borghaei, H., Paz-Ares, L., Horn, L., Spigel, D.R., Steins, M., Ready, N.E. </w:t>
      </w:r>
      <w:r w:rsidRPr="0003367B">
        <w:rPr>
          <w:i/>
          <w:iCs/>
        </w:rPr>
        <w:t>et al.</w:t>
      </w:r>
      <w:r w:rsidRPr="0003367B">
        <w:t xml:space="preserve"> (2015) ‘Nivolumab versus docetaxel in advanced nonsquamous non-small-cell lung cancer’, </w:t>
      </w:r>
      <w:r w:rsidRPr="0003367B">
        <w:rPr>
          <w:i/>
          <w:iCs/>
        </w:rPr>
        <w:t>New England Journal of Medicine</w:t>
      </w:r>
      <w:r w:rsidRPr="0003367B">
        <w:t xml:space="preserve">, 373(17), pp. 1627–1639. </w:t>
      </w:r>
    </w:p>
    <w:p w14:paraId="6D17D828" w14:textId="77777777" w:rsidR="0003367B" w:rsidRPr="0003367B" w:rsidRDefault="0003367B" w:rsidP="0003367B">
      <w:r w:rsidRPr="0003367B">
        <w:t xml:space="preserve">  Friebel, E., Kapolou, K., Unger, S., Núñez, N.G., Utz, S., Rushing, E.J. </w:t>
      </w:r>
      <w:r w:rsidRPr="0003367B">
        <w:rPr>
          <w:i/>
          <w:iCs/>
        </w:rPr>
        <w:t>et al.</w:t>
      </w:r>
      <w:r w:rsidRPr="0003367B">
        <w:t xml:space="preserve"> (2020) ‘Single-cell mapping of human brain metastases reveals diverse immune microenvironments’, </w:t>
      </w:r>
      <w:r w:rsidRPr="0003367B">
        <w:rPr>
          <w:i/>
          <w:iCs/>
        </w:rPr>
        <w:t>Cell</w:t>
      </w:r>
      <w:r w:rsidRPr="0003367B">
        <w:t xml:space="preserve">, 181(7), pp. 1626–1642.e20. </w:t>
      </w:r>
    </w:p>
    <w:p w14:paraId="46CC5B76" w14:textId="77777777" w:rsidR="0003367B" w:rsidRPr="0003367B" w:rsidRDefault="0003367B" w:rsidP="0003367B">
      <w:r w:rsidRPr="0003367B">
        <w:t xml:space="preserve">  Guo, X., Zhang, Y., Zheng, L., Zheng, C., Song, J., Zhang, Q. </w:t>
      </w:r>
      <w:r w:rsidRPr="0003367B">
        <w:rPr>
          <w:i/>
          <w:iCs/>
        </w:rPr>
        <w:t>et al.</w:t>
      </w:r>
      <w:r w:rsidRPr="0003367B">
        <w:t xml:space="preserve"> (2018) ‘Global characterization of T cells in non-small-cell lung cancer by single-cell sequencing’, </w:t>
      </w:r>
      <w:r w:rsidRPr="0003367B">
        <w:rPr>
          <w:i/>
          <w:iCs/>
        </w:rPr>
        <w:t>Nature Medicine</w:t>
      </w:r>
      <w:r w:rsidRPr="0003367B">
        <w:t xml:space="preserve">, 24(7), pp. 978–985. </w:t>
      </w:r>
    </w:p>
    <w:p w14:paraId="28DD8B1F" w14:textId="77777777" w:rsidR="0003367B" w:rsidRPr="0003367B" w:rsidRDefault="0003367B" w:rsidP="0003367B">
      <w:r w:rsidRPr="0003367B">
        <w:t xml:space="preserve">  Thommen, D.S. and Schumacher, T.N. (2018) ‘T-cell dysfunction in cancer’, </w:t>
      </w:r>
      <w:r w:rsidRPr="0003367B">
        <w:rPr>
          <w:i/>
          <w:iCs/>
        </w:rPr>
        <w:t>Cancer Cell</w:t>
      </w:r>
      <w:r w:rsidRPr="0003367B">
        <w:t xml:space="preserve">, 33(4), pp. 547–562. </w:t>
      </w:r>
    </w:p>
    <w:p w14:paraId="562EE227" w14:textId="77777777" w:rsidR="0003367B" w:rsidRPr="0003367B" w:rsidRDefault="0003367B" w:rsidP="0003367B">
      <w:r w:rsidRPr="0003367B">
        <w:t xml:space="preserve">  Wherry, E.J. and Kurachi, M. (2015) ‘Molecular and cellular insights into T-cell exhaustion’, </w:t>
      </w:r>
      <w:r w:rsidRPr="0003367B">
        <w:rPr>
          <w:i/>
          <w:iCs/>
        </w:rPr>
        <w:t>Nature Reviews Immunology</w:t>
      </w:r>
      <w:r w:rsidRPr="0003367B">
        <w:t xml:space="preserve">, 15(8), pp. 486–499. </w:t>
      </w:r>
    </w:p>
    <w:p w14:paraId="5FA6CD5B" w14:textId="77777777" w:rsidR="0003367B" w:rsidRPr="0003367B" w:rsidRDefault="0003367B" w:rsidP="0003367B">
      <w:r w:rsidRPr="0003367B">
        <w:t xml:space="preserve">  Blank, C.U., Haining, W.N., Held, W., Hogan, P.G., Kallies, A., Lugli, E. </w:t>
      </w:r>
      <w:r w:rsidRPr="0003367B">
        <w:rPr>
          <w:i/>
          <w:iCs/>
        </w:rPr>
        <w:t>et al.</w:t>
      </w:r>
      <w:r w:rsidRPr="0003367B">
        <w:t xml:space="preserve"> (2019) ‘Defining “T cell exhaustion”’, </w:t>
      </w:r>
      <w:r w:rsidRPr="0003367B">
        <w:rPr>
          <w:i/>
          <w:iCs/>
        </w:rPr>
        <w:t>Nature Reviews Immunology</w:t>
      </w:r>
      <w:r w:rsidRPr="0003367B">
        <w:t xml:space="preserve">, 19(11), pp. 665–674. </w:t>
      </w:r>
    </w:p>
    <w:p w14:paraId="1D20F813" w14:textId="77777777" w:rsidR="0003367B" w:rsidRPr="0003367B" w:rsidRDefault="0003367B" w:rsidP="0003367B">
      <w:r w:rsidRPr="0003367B">
        <w:t xml:space="preserve">  Anderson, A.C., Joller, N. and Kuchroo, V.K. (2016) ‘TIM-3, Lag-3, and TIGIT: Co-inhibitory receptors with specialized functions in immune regulation’, </w:t>
      </w:r>
      <w:r w:rsidRPr="0003367B">
        <w:rPr>
          <w:i/>
          <w:iCs/>
        </w:rPr>
        <w:t>Immunity</w:t>
      </w:r>
      <w:r w:rsidRPr="0003367B">
        <w:t xml:space="preserve">, 44(5), pp. 989–1004. </w:t>
      </w:r>
    </w:p>
    <w:p w14:paraId="14D9A67B" w14:textId="77777777" w:rsidR="0003367B" w:rsidRPr="0003367B" w:rsidRDefault="0003367B" w:rsidP="0003367B">
      <w:r w:rsidRPr="0003367B">
        <w:lastRenderedPageBreak/>
        <w:t xml:space="preserve">  Johnston, R.J., Comps-Agrar, L., Hackney, J., Yu, X., Huseni, M., Yang, Y. </w:t>
      </w:r>
      <w:r w:rsidRPr="0003367B">
        <w:rPr>
          <w:i/>
          <w:iCs/>
        </w:rPr>
        <w:t>et al.</w:t>
      </w:r>
      <w:r w:rsidRPr="0003367B">
        <w:t xml:space="preserve"> (2014) ‘The immunoreceptor TIGIT regulates antitumor and antiviral CD8+ T cell effector function’, </w:t>
      </w:r>
      <w:r w:rsidRPr="0003367B">
        <w:rPr>
          <w:i/>
          <w:iCs/>
        </w:rPr>
        <w:t>Nature Immunology</w:t>
      </w:r>
      <w:r w:rsidRPr="0003367B">
        <w:t xml:space="preserve">, 15(3), pp. 280–288. </w:t>
      </w:r>
    </w:p>
    <w:p w14:paraId="7CD46B49" w14:textId="77777777" w:rsidR="0003367B" w:rsidRPr="0003367B" w:rsidRDefault="0003367B" w:rsidP="0003367B">
      <w:r w:rsidRPr="0003367B">
        <w:t xml:space="preserve">  De Simone, M., Arrigoni, A., Rossetti, G., Gruarin, P., Ranzani, V., Politano, C. </w:t>
      </w:r>
      <w:r w:rsidRPr="0003367B">
        <w:rPr>
          <w:i/>
          <w:iCs/>
        </w:rPr>
        <w:t>et al.</w:t>
      </w:r>
      <w:r w:rsidRPr="0003367B">
        <w:t xml:space="preserve"> (2019) ‘Transcriptional landscape of human tissue lymphocytes unveils uniqueness of tumor-infiltrating T regulatory cells’, </w:t>
      </w:r>
      <w:r w:rsidRPr="0003367B">
        <w:rPr>
          <w:i/>
          <w:iCs/>
        </w:rPr>
        <w:t>Cell</w:t>
      </w:r>
      <w:r w:rsidRPr="0003367B">
        <w:t xml:space="preserve">, 176(4), pp. 775–789.e22. </w:t>
      </w:r>
    </w:p>
    <w:p w14:paraId="7C24CEF8" w14:textId="77777777" w:rsidR="0003367B" w:rsidRPr="0003367B" w:rsidRDefault="0003367B" w:rsidP="0003367B">
      <w:r w:rsidRPr="0003367B">
        <w:t xml:space="preserve">  Qian, B.Z. and Pollard, J.W. (2010) ‘Macrophage diversity enhances tumor progression and metastasis’, </w:t>
      </w:r>
      <w:r w:rsidRPr="0003367B">
        <w:rPr>
          <w:i/>
          <w:iCs/>
        </w:rPr>
        <w:t>Cell</w:t>
      </w:r>
      <w:r w:rsidRPr="0003367B">
        <w:t xml:space="preserve">, 141(1), pp. 39–51. </w:t>
      </w:r>
    </w:p>
    <w:p w14:paraId="2B24FF40" w14:textId="77777777" w:rsidR="0003367B" w:rsidRPr="0003367B" w:rsidRDefault="0003367B" w:rsidP="0003367B">
      <w:r w:rsidRPr="0003367B">
        <w:t xml:space="preserve">  Mantovani, A., Marchesi, F., Malesci, A., Laghi, L. and Allavena, P. (2017) ‘Tumour-associated macrophages as treatment targets in oncology’, </w:t>
      </w:r>
      <w:r w:rsidRPr="0003367B">
        <w:rPr>
          <w:i/>
          <w:iCs/>
        </w:rPr>
        <w:t>Nature Reviews Clinical Oncology</w:t>
      </w:r>
      <w:r w:rsidRPr="0003367B">
        <w:t xml:space="preserve">, 14(7), pp. 399–416. </w:t>
      </w:r>
    </w:p>
    <w:p w14:paraId="4560F72B" w14:textId="77777777" w:rsidR="0003367B" w:rsidRPr="0003367B" w:rsidRDefault="0003367B" w:rsidP="0003367B">
      <w:r w:rsidRPr="0003367B">
        <w:t xml:space="preserve">  Lambrechts, D., Wauters, E., Boeckx, B., Aibar, S., Nittner, D., Burton, O. </w:t>
      </w:r>
      <w:r w:rsidRPr="0003367B">
        <w:rPr>
          <w:i/>
          <w:iCs/>
        </w:rPr>
        <w:t>et al.</w:t>
      </w:r>
      <w:r w:rsidRPr="0003367B">
        <w:t xml:space="preserve"> (2018) ‘Phenotype molding of stromal cells in the lung tumor microenvironment’, </w:t>
      </w:r>
      <w:r w:rsidRPr="0003367B">
        <w:rPr>
          <w:i/>
          <w:iCs/>
        </w:rPr>
        <w:t>Nature Medicine</w:t>
      </w:r>
      <w:r w:rsidRPr="0003367B">
        <w:t xml:space="preserve">, 24(8), pp. 1277–1289. </w:t>
      </w:r>
    </w:p>
    <w:p w14:paraId="483BEC23" w14:textId="33F6F9F3" w:rsidR="00751C6C" w:rsidRPr="0003367B" w:rsidRDefault="0003367B" w:rsidP="0003367B">
      <w:r w:rsidRPr="0003367B">
        <w:t xml:space="preserve">  Kim, N., Kim, H.K., Lee, K., Hong, Y., Cho, J.H., Choi, J.W. </w:t>
      </w:r>
      <w:r w:rsidRPr="0003367B">
        <w:rPr>
          <w:i/>
          <w:iCs/>
        </w:rPr>
        <w:t>et al.</w:t>
      </w:r>
      <w:r w:rsidRPr="0003367B">
        <w:t xml:space="preserve"> (2020) ‘Single-cell RNA sequencing demonstrates the molecular and cellular reprogramming of metastatic lung adenocarcinoma’, </w:t>
      </w:r>
      <w:r w:rsidRPr="0003367B">
        <w:rPr>
          <w:i/>
          <w:iCs/>
        </w:rPr>
        <w:t>Nature Communications</w:t>
      </w:r>
      <w:r w:rsidRPr="0003367B">
        <w:t>, 11, Article 2285. (Dataset: GSE131907).</w:t>
      </w:r>
    </w:p>
    <w:sectPr w:rsidR="00751C6C" w:rsidRPr="00033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C6C"/>
    <w:rsid w:val="0003367B"/>
    <w:rsid w:val="00751C6C"/>
    <w:rsid w:val="00BD21BB"/>
    <w:rsid w:val="00DE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589199-4517-4E3F-BC3E-05FE83461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493</Words>
  <Characters>3137</Characters>
  <Application>Microsoft Office Word</Application>
  <DocSecurity>0</DocSecurity>
  <Lines>62</Lines>
  <Paragraphs>14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AGATA GABARA</dc:creator>
  <cp:keywords/>
  <dc:description/>
  <cp:lastModifiedBy>AGATA GABARA</cp:lastModifiedBy>
  <cp:revision>3</cp:revision>
  <dcterms:created xsi:type="dcterms:W3CDTF">2026-06-16T20:57:00Z</dcterms:created>
  <dcterms:modified xsi:type="dcterms:W3CDTF">2026-06-16T21:04:00Z</dcterms:modified>
</cp:coreProperties>
</file>