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Times New Roman" w:hAnsi="Times New Roman"/>
          <w:b/>
          <w:sz w:val="28"/>
        </w:rPr>
        <w:t>SolanaWatch: Oral Defense Evaluation Compliance Matrix</w:t>
      </w:r>
    </w:p>
    <w:p>
      <w:pPr>
        <w:keepNext/>
        <w:spacing w:before="360" w:after="160"/>
        <w:jc w:val="center"/>
      </w:pPr>
      <w:r>
        <w:rPr>
          <w:rFonts w:ascii="Times New Roman" w:hAnsi="Times New Roman"/>
          <w:b/>
          <w:sz w:val="28"/>
        </w:rPr>
        <w:t>SolanaWatch: Capstone Proposal Defense Revision Matrix &amp; Blueprint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4"/>
        </w:rPr>
        <w:t>Project Title</w:t>
      </w:r>
      <w:r>
        <w:rPr>
          <w:rFonts w:ascii="Times New Roman" w:hAnsi="Times New Roman"/>
          <w:b w:val="0"/>
          <w:color w:val="000000"/>
          <w:sz w:val="24"/>
        </w:rPr>
        <w:t xml:space="preserve">: </w:t>
      </w:r>
      <w:r>
        <w:rPr>
          <w:rFonts w:ascii="Times New Roman" w:hAnsi="Times New Roman"/>
          <w:i/>
          <w:color w:val="000000"/>
          <w:sz w:val="24"/>
        </w:rPr>
        <w:t>SolanaWatch: An IoT-Based Disease Early Warning System for Soil-Grown Solanaceae Crops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4"/>
        </w:rPr>
        <w:t>Institution</w:t>
      </w:r>
      <w:r>
        <w:rPr>
          <w:rFonts w:ascii="Times New Roman" w:hAnsi="Times New Roman"/>
          <w:b w:val="0"/>
          <w:color w:val="000000"/>
          <w:sz w:val="24"/>
        </w:rPr>
        <w:t>: University of Santo Tomas – College of Information and Computing Sciences (Department of Information Technology)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4"/>
        </w:rPr>
        <w:t>Academic Year</w:t>
      </w:r>
      <w:r>
        <w:rPr>
          <w:rFonts w:ascii="Times New Roman" w:hAnsi="Times New Roman"/>
          <w:b w:val="0"/>
          <w:color w:val="000000"/>
          <w:sz w:val="24"/>
        </w:rPr>
        <w:t>: Special Term, A/Y 2025–2026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4"/>
        </w:rPr>
        <w:t>Adviser</w:t>
      </w:r>
      <w:r>
        <w:rPr>
          <w:rFonts w:ascii="Times New Roman" w:hAnsi="Times New Roman"/>
          <w:b w:val="0"/>
          <w:color w:val="000000"/>
          <w:sz w:val="24"/>
        </w:rPr>
        <w:t>: Prof. Eugenia R. Zhuo, DIT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4"/>
        </w:rPr>
        <w:t>Evaluation Panel</w:t>
      </w:r>
      <w:r>
        <w:rPr>
          <w:rFonts w:ascii="Times New Roman" w:hAnsi="Times New Roman"/>
          <w:b w:val="0"/>
          <w:color w:val="000000"/>
          <w:sz w:val="24"/>
        </w:rPr>
        <w:t>: Prof. Noel E. Estrella, Mr. Karlo Angelo Tino, Inst. Gabriel Emanuel D. Montano (Head Panel)</w:t>
      </w:r>
    </w:p>
    <w:p>
      <w:pPr>
        <w:keepNext/>
        <w:spacing w:before="280" w:after="120"/>
        <w:jc w:val="left"/>
      </w:pPr>
      <w:r>
        <w:rPr>
          <w:rFonts w:ascii="Times New Roman" w:hAnsi="Times New Roman"/>
          <w:b/>
          <w:sz w:val="26"/>
        </w:rPr>
        <w:t>1. Executive Summary &amp; Defense Evaluation Overview</w:t>
      </w:r>
    </w:p>
    <w:p>
      <w:pPr>
        <w:spacing w:before="0" w:after="120" w:line="360" w:lineRule="auto"/>
        <w:ind w:firstLine="72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The oral defense evaluation summary returned a verdict of </w:t>
      </w:r>
      <w:r>
        <w:rPr>
          <w:rFonts w:ascii="Times New Roman" w:hAnsi="Times New Roman"/>
          <w:b/>
          <w:color w:val="000000"/>
          <w:sz w:val="24"/>
        </w:rPr>
        <w:t>Major Revisions</w:t>
      </w:r>
      <w:r>
        <w:rPr>
          <w:rFonts w:ascii="Times New Roman" w:hAnsi="Times New Roman"/>
          <w:b w:val="0"/>
          <w:color w:val="000000"/>
          <w:sz w:val="24"/>
        </w:rPr>
        <w:t>. The primary areas identified by the panel for enhancement include:</w:t>
      </w:r>
    </w:p>
    <w:p>
      <w:pPr>
        <w:pStyle w:val="ListNumber"/>
        <w:spacing w:after="60" w:line="360" w:lineRule="auto"/>
      </w:pPr>
      <w:r>
        <w:rPr>
          <w:rFonts w:ascii="Times New Roman" w:hAnsi="Times New Roman"/>
          <w:b/>
          <w:color w:val="000000"/>
          <w:sz w:val="24"/>
        </w:rPr>
        <w:t>Hardware Engineering Rigor &amp; Power Calculations</w:t>
      </w:r>
      <w:r>
        <w:rPr>
          <w:rFonts w:ascii="Times New Roman" w:hAnsi="Times New Roman"/>
          <w:b w:val="0"/>
          <w:color w:val="000000"/>
          <w:sz w:val="24"/>
        </w:rPr>
        <w:t xml:space="preserve">: Transitioning from an unverified battery setup (3.7V 2600 mAh) to a mathematically sized and empirically validated </w:t>
      </w:r>
      <w:r>
        <w:rPr>
          <w:rFonts w:ascii="Times New Roman" w:hAnsi="Times New Roman"/>
          <w:b/>
          <w:color w:val="000000"/>
          <w:sz w:val="24"/>
        </w:rPr>
        <w:t>Solar-Assisted Power Subsystem (12V LiFePO₄ + MPPT + 20W PV panel)</w:t>
      </w:r>
      <w:r>
        <w:rPr>
          <w:rFonts w:ascii="Times New Roman" w:hAnsi="Times New Roman"/>
          <w:b w:val="0"/>
          <w:color w:val="000000"/>
          <w:sz w:val="24"/>
        </w:rPr>
        <w:t>, with complete power audits and battery autonomy calculations.</w:t>
      </w:r>
    </w:p>
    <w:p>
      <w:pPr>
        <w:pStyle w:val="ListNumber"/>
        <w:spacing w:after="60" w:line="360" w:lineRule="auto"/>
      </w:pPr>
      <w:r>
        <w:rPr>
          <w:rFonts w:ascii="Times New Roman" w:hAnsi="Times New Roman"/>
          <w:b/>
          <w:color w:val="000000"/>
          <w:sz w:val="24"/>
        </w:rPr>
        <w:t>Scientific &amp; Pathological Basis</w:t>
      </w:r>
      <w:r>
        <w:rPr>
          <w:rFonts w:ascii="Times New Roman" w:hAnsi="Times New Roman"/>
          <w:b w:val="0"/>
          <w:color w:val="000000"/>
          <w:sz w:val="24"/>
        </w:rPr>
        <w:t>: Establishing explicit mathematical models and literature-grounded rules (Wallin’s Severity Values / BLITECAST adaptation for Late Blight; soil thermal-moisture index for Bacterial Wilt) rather than arbitrary thresholds.</w:t>
      </w:r>
    </w:p>
    <w:p>
      <w:pPr>
        <w:pStyle w:val="ListNumber"/>
        <w:spacing w:after="60" w:line="360" w:lineRule="auto"/>
      </w:pPr>
      <w:r>
        <w:rPr>
          <w:rFonts w:ascii="Times New Roman" w:hAnsi="Times New Roman"/>
          <w:b/>
          <w:color w:val="000000"/>
          <w:sz w:val="24"/>
        </w:rPr>
        <w:t>Architectural &amp; Hardware Detail</w:t>
      </w:r>
      <w:r>
        <w:rPr>
          <w:rFonts w:ascii="Times New Roman" w:hAnsi="Times New Roman"/>
          <w:b w:val="0"/>
          <w:color w:val="000000"/>
          <w:sz w:val="24"/>
        </w:rPr>
        <w:t>: Providing exact sensor models, RS485 Modbus communication interfaces, custom PCB justifications over breadboards, Stevenson radiation shield housing, and IP65/IP66 enclosure specifications.</w:t>
      </w:r>
    </w:p>
    <w:p>
      <w:pPr>
        <w:pStyle w:val="ListNumber"/>
        <w:spacing w:after="60" w:line="360" w:lineRule="auto"/>
      </w:pPr>
      <w:r>
        <w:rPr>
          <w:rFonts w:ascii="Times New Roman" w:hAnsi="Times New Roman"/>
          <w:b/>
          <w:color w:val="000000"/>
          <w:sz w:val="24"/>
        </w:rPr>
        <w:t>System Reliability, Synchronization &amp; Edge Fail-Safe</w:t>
      </w:r>
      <w:r>
        <w:rPr>
          <w:rFonts w:ascii="Times New Roman" w:hAnsi="Times New Roman"/>
          <w:b w:val="0"/>
          <w:color w:val="000000"/>
          <w:sz w:val="24"/>
        </w:rPr>
        <w:t>: Formalizing the SPI MicroSD FIFO offline data logging buffer, idempotent HTTP data synchronization with server ACK, de-duplication logic, and comprehensive sensor calibration procedures.</w:t>
      </w:r>
    </w:p>
    <w:p>
      <w:pPr>
        <w:pStyle w:val="ListNumber"/>
        <w:spacing w:after="60" w:line="360" w:lineRule="auto"/>
      </w:pPr>
      <w:r>
        <w:rPr>
          <w:rFonts w:ascii="Times New Roman" w:hAnsi="Times New Roman"/>
          <w:b/>
          <w:color w:val="000000"/>
          <w:sz w:val="24"/>
        </w:rPr>
        <w:t>Quality Assurance &amp; Verification Matrix</w:t>
      </w:r>
      <w:r>
        <w:rPr>
          <w:rFonts w:ascii="Times New Roman" w:hAnsi="Times New Roman"/>
          <w:b w:val="0"/>
          <w:color w:val="000000"/>
          <w:sz w:val="24"/>
        </w:rPr>
        <w:t>: Adding granular ISO/IEC 25010 aligned test cases for component unit testing, wireless RSSI communication range decay, battery autonomy, solar charging profiles, and field validation.</w:t>
      </w:r>
    </w:p>
    <w:p>
      <w:pPr>
        <w:keepNext/>
        <w:spacing w:before="280" w:after="120"/>
        <w:jc w:val="left"/>
      </w:pPr>
      <w:r>
        <w:rPr>
          <w:rFonts w:ascii="Times New Roman" w:hAnsi="Times New Roman"/>
          <w:b/>
          <w:sz w:val="26"/>
        </w:rPr>
        <w:t>2. Complete 24-Point Panel Revision Action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AEAE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#</w:t>
            </w:r>
          </w:p>
        </w:tc>
        <w:tc>
          <w:tcPr>
            <w:tcW w:type="dxa" w:w="1872"/>
            <w:shd w:fill="EAEAE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Panel Comment / Revision Item</w:t>
            </w:r>
          </w:p>
        </w:tc>
        <w:tc>
          <w:tcPr>
            <w:tcW w:type="dxa" w:w="1872"/>
            <w:shd w:fill="EAEAE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Target Section</w:t>
            </w:r>
          </w:p>
        </w:tc>
        <w:tc>
          <w:tcPr>
            <w:tcW w:type="dxa" w:w="1872"/>
            <w:shd w:fill="EAEAE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Identified Weakness in Initial Draft</w:t>
            </w:r>
          </w:p>
        </w:tc>
        <w:tc>
          <w:tcPr>
            <w:tcW w:type="dxa" w:w="1872"/>
            <w:shd w:fill="EAEAE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Required Academic &amp; Technical Action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Add comparative analysis of ESP32, Arduino Leonardo, and Raspberry Pi in Chapter 2.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Chapter 2 (RRL)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Qualitative discussion lacked structured tabular metrics and micro-architecture comparison.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Add a comparative table comparing Clock Speed, SRAM, Flash, Built-in Wireless, Deep-Sleep Current, Active Power Draw, Unit Cost, and Modbus/SPI/I2C interfacing.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2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Justify selection of ESP32 based on SolanaWatch's requirements.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Chapter 2 &amp; Chapter 3.1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Justification was generic without mapping to edge logging, RS485 communication, and solar autonomy.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Explicitly tie ESP32 dual-core Xtensa LX6, native 2.4 GHz Wi-Fi stack, low-power deep sleep (10–150 µA), and peripheral buses (SPI for SD, UART2 for RS485, ADC for capacitive sensor) to system requirements.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Specify exact models and specifications of all sensors and components.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Chapter 3 (System Req. - Table 6)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Generic sensor descriptions without part numbers, tolerances, operating voltages, or signal protocols.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List exact part numbers: DHT22/AM2302 (Air Temp &amp; RH), DS18B20 (Waterproof Stainless Probe, 1-Wire), Capacitive Soil Moisture Sensor v1.2 (Analog), IP68 Industrial RS485 Modbus Leaf Wetness Sensor, MAX485/SP3485 TTL-RS485 transceiver.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4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Reassess the 3.7 V 2600 mAh Li-ion battery for 24/7 operation.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Chapter 2 &amp; Chapter 3.1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3.7V 2600 mAh (9.62 Wh) depletes in &lt; 16 hours with active Wi-Fi and 12V RS485 boost converters.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Perform a formal power discharge audit proving why single 18650 Li-ion cells fail 24/7 outdoor operation and justify upgrading to a 12.8V LiFePO₄ battery chemistry.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Investigate the use of a solar-assisted power system for continuous operation.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Chapter 2 &amp; Chapter 3.1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Solar power was mentioned without engineering sizing formulas or solar irradiance analysis.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Provide solar photovoltaic sizing models based on Philippine Peak Sun Hours (PSH = 4.5 h/day), solar charging efficiency (η = 0.75), and continuous day/night energy cycling.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6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Conduct actual power-consumption testing of the complete prototype.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Chapter 3.4 (Test Plan)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Missing physical power measurement protocol and energy dissipation profiles.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Design a power measurement test bench using a digital multimeter/shunt resistor to capture current draw across Active TX (180–240 mA), Sensing (30–60 mA), and Deep Sleep (15–50 µA) states.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7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Determine appropriate solar panel and battery capacity based on measured power requirements.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Chapter 3.1 &amp; 3.3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Hardware ratings were selected arbitrarily without mathematical sizing formulas.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Integrate formal sizing formulas: Daily Energy Budget (E_daily), Battery Capacity (C_battery with 3 Days of Autonomy and 80% DoD), and PV Panel Wattage (P_solar).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8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Clarify the difference between sensor coverage and wireless communication range.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Chapter 1 (Scope) &amp; Chapter 3.1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Conflated microclimatic sensing footprint with ESP32 Wi-Fi transmission radius.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 xml:space="preserve">Differentiate 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Microclimatic Representative Footprint</w:t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 xml:space="preserve"> (5–15 m radial zone of microclimate homogeneity) vs. 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RF Wireless Range</w:t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 xml:space="preserve"> (30–50 m Wi-Fi 802.11 b/g/n line-of-sight).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9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Conduct experimental test to determine actual communication range of the ESP32.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Chapter 3.4 (Test Plan)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Lacked empirical RF range and signal degradation testing protocol.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Formulate an experimental RSSI (dBm) and Packet Delivery Ratio (PDR %) test at 5m, 10m, 20m, 30m, 40m, and 50m intervals under Line-of-Sight (LOS) and crop canopy Non-Line-of-Sight (NLOS).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10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Provide RRL support for selected environmental parameters.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Chapter 2 (RRL)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Need stronger plant pathology citations linking microclimate to specific Solanaceae pathogens.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 xml:space="preserve">Provide direct peer-reviewed citations for Air Temperature, RH, Leaf Wetness Duration (LWD), Soil Temperature, and Soil Moisture influencing 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Phytophthora infestans</w:t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 xml:space="preserve"> and 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Ralstonia pseudosolanacearum</w:t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11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Provide research basis for all disease-risk thresholds and formulas.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Chapter 3.1 (Table 11)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Thresholds were presented as static ranges without mathematical combination logic or disease model grounding.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Formulate Wallin's Severity Values (SV) / BLITECAST rule-base for Late Blight and hydrothermal soil infection indices for Bacterial Wilt with exact scientific citations.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12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Clarify how multiple environmental parameters are combined to determine disease risk.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Chapter 3.1 &amp; 3.3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No multi-variate formula explaining how individual sensor thresholds synthesize into a single risk index.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Define decision tree algorithms combining air, soil, and canopy metrics over cumulative time windows (LWD ≥ 10 h).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13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Clarify that SolanaWatch performs disease-risk assessment rather than direct disease diagnosis.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Chapter 1 (Scope &amp; Delimitations)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Ambiguous terminology implied that the system detects pathogen existence directly.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 xml:space="preserve">Explicitly refine all text to state that SolanaWatch evaluates 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microclimatic conduciveness</w:t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 xml:space="preserve"> (risk modeling) and does not perform biological/optical pathogen detection.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14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Identify intended users of SolanaWatch.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Chapter 1 (Purpose) &amp; Chapter 3.1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User descriptions were broad without persona and operational context.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Define specific target user groups: Smallholder Solanaceae farmers, agricultural technicians, screenhouse operators, and agricultural researchers.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15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Clearly label all components and functions in circuit and system diagrams.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Chapter 3.3 (System Design)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Circuit schematic lacked GPIO pin mappings, pull-up resistors, power rail lines, and level shifters.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Produce an annotated schematic showing ESP32 pinouts (GPIO 4: OneWire, GPIO 16/17: UART2 Modbus, GPIO 34: ADC, GPIO 5/18/19/23: SPI SD), step-down buck converters, and 4.7kΩ pull-up resistors.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16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Evaluate using a PCB instead of a breadboard for the final prototype.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Chapter 3.1 &amp; 3.3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Breadboards are vulnerable to corrosion, contact bounce, and outdoor field failure.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Add a comparative evaluation proving that a custom PCB / Proto-Shield ensures low contact resistance, resistance to tropical humidity, anti-vibration integrity, and clean signal paths.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17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Add test cases for sensor accuracy, data transmission, offline logging, and data synchronization.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Chapter 3.4 (Test Plan)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Existing test cases were vague ("Test sensor reads climate").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Implement structured test suites with Test Case ID, Description, Preconditions, Test Steps, Expected Result, and Acceptance Criteria.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18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Explain how data loss and duplication will be prevented during network interruptions.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Chapter 3.3 &amp; 3.4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Sync mechanism lacked technical description of deduplication and ACK handshaking.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 xml:space="preserve">Detail the SPI-linked MicroSD FIFO buffer, monotonic timestamping, transactional batch sync, HTTP 200/201 ACK validation, and database 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UNIQUE(node_id, recorded_at)</w:t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 xml:space="preserve"> constraint.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19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Establish calibration procedure for all environmental sensors.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Chapter 3.4 (Test Plan)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Missing sensor calibration methods prior to field deployment.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Provide standard 2-point calibration for capacitive soil moisture (air vs. water), ice-point/boiling calibration for DS18B20, and saturated salt chamber verification for DHT22.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20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Specify Solanaceae crops and field conditions covered by the study.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Chapter 1 (Scope &amp; Delimitations)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Broad reference to Solanaceae without crop varieties and agro-ecological conditions.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Specify Tomato (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Solanum lycopersicum</w:t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), Eggplant (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Solanum melongena</w:t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), Bell Pepper (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Capsicum annuum</w:t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), and Potato (</w:t>
            </w:r>
            <w:r>
              <w:rPr>
                <w:rFonts w:ascii="Times New Roman" w:hAnsi="Times New Roman"/>
                <w:i/>
                <w:color w:val="000000"/>
                <w:sz w:val="21"/>
              </w:rPr>
              <w:t>Solanum tuberosum</w:t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) in open-field and screenhouse cultivation under Philippine climatic conditions.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21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Evaluate enclosure and components for outdoor agricultural conditions.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Chapter 3.1 &amp; 3.3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Enclosure lacked ingress protection ratings, UV considerations, and thermal radiation shielding.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Specify IP65/IP66 weatherproof junction box with silicone gaskets, PG7/PG9 waterproof cable glands, silica desiccant packets, and a louvered Stevenson radiation shield for the DHT22.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22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Add reliability testing plan for continuous operation.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Chapter 3.4 (Test Plan)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Lacked continuous operational stress testing and watchdog timer fail-safe protocols.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Add a 72-hour and 7-day continuous unattended field testing protocol, ESP32 hardware Watchdog Timer (WDT) configuration, brown-out reset (BOR), and auto-recovery routines.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23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Provide validation procedure for solar charging and battery autonomy.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Chapter 3.4 (Test Plan)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No procedure to verify if battery survives zero-sunlight conditions or charges efficiently.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Detail a 3-day solar deprivation autonomy stress test (battery discharge curve) and a 48-hour solar harvesting profile under varying ambient solar irradiance (W/m²).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24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Support all technical claims and component selections with recent RRL, datasheets, calculations, or experimental results.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Entire Manuscript (Chapters 1–3)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Several claims lacked direct citations or empirical justification.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Integrate 2020–2026 high-impact journal citations (IEEE, Elsevier, Springer, MDPI), official datasheets, and derived engineering formulas across all chapters.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