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bottom w:val="single" w:sz="6" w:space="0" w:color="000000"/>
          <w:left w:val="none"/>
          <w:right w:val="none"/>
          <w:insideH w:val="none"/>
          <w:insideV w:val="none"/>
        </w:tblBorders>
      </w:tblPr>
      <w:tblGrid>
        <w:gridCol w:w="1584"/>
        <w:gridCol w:w="7056"/>
        <w:gridCol w:w="1584"/>
      </w:tblGrid>
      <w:tr>
        <w:tc>
          <w:tcPr>
            <w:tcW w:type="dxa" w:w="3408"/>
            <w:vAlign w:val="center"/>
          </w:tcPr>
          <w:p>
            <w:pPr>
              <w:jc w:val="left"/>
            </w:pPr>
            <w:r>
              <w:drawing>
                <wp:inline xmlns:a="http://schemas.openxmlformats.org/drawingml/2006/main" xmlns:pic="http://schemas.openxmlformats.org/drawingml/2006/picture">
                  <wp:extent cx="868680" cy="817581"/>
                  <wp:docPr id="1" name="Picture 1"/>
                  <wp:cNvGraphicFramePr>
                    <a:graphicFrameLocks noChangeAspect="1"/>
                  </wp:cNvGraphicFramePr>
                  <a:graphic>
                    <a:graphicData uri="http://schemas.openxmlformats.org/drawingml/2006/picture">
                      <pic:pic>
                        <pic:nvPicPr>
                          <pic:cNvPr id="0" name="logo_1.png"/>
                          <pic:cNvPicPr/>
                        </pic:nvPicPr>
                        <pic:blipFill>
                          <a:blip r:embed="rId10"/>
                          <a:stretch>
                            <a:fillRect/>
                          </a:stretch>
                        </pic:blipFill>
                        <pic:spPr>
                          <a:xfrm>
                            <a:off x="0" y="0"/>
                            <a:ext cx="868680" cy="817581"/>
                          </a:xfrm>
                          <a:prstGeom prst="rect"/>
                        </pic:spPr>
                      </pic:pic>
                    </a:graphicData>
                  </a:graphic>
                </wp:inline>
              </w:drawing>
            </w:r>
          </w:p>
        </w:tc>
        <w:tc>
          <w:tcPr>
            <w:tcW w:type="dxa" w:w="3408"/>
            <w:vAlign w:val="center"/>
          </w:tcPr>
          <w:p>
            <w:pPr>
              <w:spacing w:before="0" w:after="40" w:line="276" w:lineRule="auto"/>
              <w:jc w:val="center"/>
            </w:pPr>
            <w:r>
              <w:rPr>
                <w:rFonts w:ascii="Arial" w:hAnsi="Arial"/>
                <w:b/>
                <w:color w:val="111111"/>
                <w:sz w:val="22"/>
              </w:rPr>
              <w:t>UNIVERSITY OF SANTO TOMAS</w:t>
              <w:br/>
            </w:r>
            <w:r>
              <w:rPr>
                <w:rFonts w:ascii="Arial" w:hAnsi="Arial"/>
                <w:b/>
                <w:color w:val="222222"/>
                <w:sz w:val="20"/>
              </w:rPr>
              <w:t>COLLEGE OF INFORMATION AND COMPUTING SCIENCES</w:t>
              <w:br/>
            </w:r>
            <w:r>
              <w:rPr>
                <w:rFonts w:ascii="Arial" w:hAnsi="Arial"/>
                <w:b/>
                <w:color w:val="002060"/>
                <w:sz w:val="21"/>
              </w:rPr>
              <w:t>RESEARCH ETHICS COMMITTEE</w:t>
              <w:br/>
            </w:r>
            <w:r>
              <w:rPr>
                <w:rFonts w:ascii="Arial" w:hAnsi="Arial"/>
                <w:b/>
                <w:color w:val="002060"/>
                <w:sz w:val="23"/>
              </w:rPr>
              <w:t>RESEARCH PROTOCOL ASSESSMENT FORM</w:t>
              <w:br/>
            </w:r>
            <w:r>
              <w:rPr>
                <w:rFonts w:ascii="Arial" w:hAnsi="Arial"/>
                <w:b w:val="0"/>
                <w:color w:val="444444"/>
                <w:sz w:val="18"/>
              </w:rPr>
              <w:t>Adapted from PHREB SOP 2020 Workbook</w:t>
              <w:br/>
            </w:r>
          </w:p>
        </w:tc>
        <w:tc>
          <w:tcPr>
            <w:tcW w:type="dxa" w:w="3408"/>
            <w:vAlign w:val="center"/>
          </w:tcPr>
          <w:p>
            <w:pPr>
              <w:jc w:val="right"/>
            </w:pPr>
            <w:r>
              <w:drawing>
                <wp:inline xmlns:a="http://schemas.openxmlformats.org/drawingml/2006/main" xmlns:pic="http://schemas.openxmlformats.org/drawingml/2006/picture">
                  <wp:extent cx="868680" cy="1024802"/>
                  <wp:docPr id="2" name="Picture 2"/>
                  <wp:cNvGraphicFramePr>
                    <a:graphicFrameLocks noChangeAspect="1"/>
                  </wp:cNvGraphicFramePr>
                  <a:graphic>
                    <a:graphicData uri="http://schemas.openxmlformats.org/drawingml/2006/picture">
                      <pic:pic>
                        <pic:nvPicPr>
                          <pic:cNvPr id="0" name="logo_2.png"/>
                          <pic:cNvPicPr/>
                        </pic:nvPicPr>
                        <pic:blipFill>
                          <a:blip r:embed="rId11"/>
                          <a:stretch>
                            <a:fillRect/>
                          </a:stretch>
                        </pic:blipFill>
                        <pic:spPr>
                          <a:xfrm>
                            <a:off x="0" y="0"/>
                            <a:ext cx="868680" cy="1024802"/>
                          </a:xfrm>
                          <a:prstGeom prst="rect"/>
                        </pic:spPr>
                      </pic:pic>
                    </a:graphicData>
                  </a:graphic>
                </wp:inline>
              </w:drawing>
            </w:r>
          </w:p>
        </w:tc>
      </w:tr>
    </w:tbl>
    <w:p>
      <w:pPr>
        <w:spacing w:after="80"/>
      </w:pPr>
    </w:p>
    <w:p>
      <w:pPr>
        <w:spacing w:before="40" w:after="120"/>
      </w:pPr>
      <w:r>
        <w:rPr>
          <w:rFonts w:ascii="Arial" w:hAnsi="Arial"/>
          <w:b/>
          <w:sz w:val="18"/>
        </w:rPr>
        <w:t xml:space="preserve">INSTRUCTION: </w:t>
      </w:r>
      <w:r>
        <w:rPr>
          <w:rFonts w:ascii="Arial" w:hAnsi="Arial"/>
          <w:sz w:val="18"/>
        </w:rPr>
        <w:t>This form is required for protocols to be submitted for initial review. Please indicate in the space provided below whether the specified assessment point is addressed by your study protocol. To facilitate the evaluation of the assessment point, indicate the line number AND page number where this information can be found. Incomplete and/or incorrect forms and requirements will NOT BE ACCEPTED FOR REVIEW. All citations strictly cross-referenced with the official 102-page manuscript: Full Proposal.pdf.</w:t>
      </w:r>
    </w:p>
    <w:p>
      <w:pPr>
        <w:spacing w:before="80" w:after="80"/>
      </w:pPr>
      <w:r>
        <w:rPr>
          <w:rFonts w:ascii="Arial" w:hAnsi="Arial"/>
          <w:b/>
          <w:color w:val="002060"/>
          <w:sz w:val="21"/>
        </w:rPr>
        <w:t>I. PROTOCOL AND AUTHORS INFORMATION</w:t>
      </w:r>
    </w:p>
    <w:p>
      <w:pPr>
        <w:spacing w:before="40" w:after="40"/>
      </w:pPr>
      <w:r>
        <w:rPr>
          <w:rFonts w:ascii="Arial" w:hAnsi="Arial"/>
          <w:b/>
          <w:sz w:val="19"/>
        </w:rPr>
        <w:t>1. Protocol Information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68"/>
        <w:gridCol w:w="7056"/>
      </w:tblGrid>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Protocol Title</w:t>
            </w:r>
          </w:p>
        </w:tc>
        <w:tc>
          <w:tcPr>
            <w:tcW w:type="dxa" w:w="5112"/>
            <w:tcMar>
              <w:top w:w="70" w:type="dxa"/>
              <w:bottom w:w="70" w:type="dxa"/>
              <w:left w:w="100" w:type="dxa"/>
              <w:right w:w="100" w:type="dxa"/>
            </w:tcMar>
          </w:tcPr>
          <w:p>
            <w:pPr>
              <w:spacing w:before="0" w:after="0" w:line="264" w:lineRule="auto"/>
              <w:jc w:val="left"/>
            </w:pPr>
            <w:r>
              <w:rPr>
                <w:rFonts w:ascii="Arial" w:hAnsi="Arial"/>
                <w:b/>
                <w:sz w:val="17"/>
              </w:rPr>
              <w:t>SolanaWatch: An IoT-Based Disease Early Warning System for Soil-Grown Solanaceae Crops</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Protocol Number</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[To be provided by REC Secretariat]</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Classification</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 Undergraduate          ☐ Masteral          ☐ Doctorate          ☐ Others: ____________________</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Sponsor (include sponsor-specific protocol number if applicable)</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Self-funded (Department of Information Technology, UST College of Information and Computing Sciences)</w:t>
            </w:r>
          </w:p>
        </w:tc>
      </w:tr>
    </w:tbl>
    <w:p>
      <w:pPr>
        <w:spacing w:before="120" w:after="40"/>
      </w:pPr>
      <w:r>
        <w:rPr>
          <w:rFonts w:ascii="Arial" w:hAnsi="Arial"/>
          <w:b/>
          <w:sz w:val="19"/>
        </w:rPr>
        <w:t>2. Author Information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68"/>
        <w:gridCol w:w="7056"/>
      </w:tblGrid>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Complete list of authors</w:t>
              <w:br/>
              <w:t>(Last Name, First Name, MI)</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1. Rapada, Raven M.</w:t>
              <w:br/>
              <w:t>2. Morales, Simeon Agabus S.</w:t>
              <w:br/>
              <w:t>3. Hernandez, Andrei S.</w:t>
              <w:br/>
              <w:t>4. Eugenio, Vince Angelo</w:t>
              <w:br/>
              <w:t>Project Adviser: Prof. Eugenia R. Zhuo, DIT</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Primary Investigator / Corresponding Author (Last Name, First Name, MI)</w:t>
            </w:r>
          </w:p>
        </w:tc>
        <w:tc>
          <w:tcPr>
            <w:tcW w:type="dxa" w:w="5112"/>
            <w:tcMar>
              <w:top w:w="70" w:type="dxa"/>
              <w:bottom w:w="70" w:type="dxa"/>
              <w:left w:w="100" w:type="dxa"/>
              <w:right w:w="100" w:type="dxa"/>
            </w:tcMar>
          </w:tcPr>
          <w:p>
            <w:pPr>
              <w:spacing w:before="0" w:after="0" w:line="264" w:lineRule="auto"/>
              <w:jc w:val="left"/>
            </w:pPr>
            <w:r>
              <w:rPr>
                <w:rFonts w:ascii="Arial" w:hAnsi="Arial"/>
                <w:b/>
                <w:sz w:val="17"/>
              </w:rPr>
              <w:t>RAPADA, RAVEN M.</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Department</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Department of Information Technology, College of Information and Computing Sciences</w:t>
            </w:r>
          </w:p>
        </w:tc>
      </w:tr>
      <w:tr>
        <w:trPr>
          <w:cantSplit/>
        </w:trPr>
        <w:tc>
          <w:tcPr>
            <w:tcW w:type="dxa" w:w="5112"/>
            <w:tcMar>
              <w:top w:w="70" w:type="dxa"/>
              <w:bottom w:w="70" w:type="dxa"/>
              <w:left w:w="100" w:type="dxa"/>
              <w:right w:w="100" w:type="dxa"/>
            </w:tcMar>
            <w:shd w:fill="F2F4F7"/>
          </w:tcPr>
          <w:p>
            <w:pPr>
              <w:spacing w:before="0" w:after="0" w:line="264" w:lineRule="auto"/>
              <w:jc w:val="left"/>
            </w:pPr>
            <w:r>
              <w:rPr>
                <w:rFonts w:ascii="Arial" w:hAnsi="Arial"/>
                <w:b/>
                <w:sz w:val="17"/>
              </w:rPr>
              <w:t>Email Address</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Primary: raven.rapada.cics@ust.edu.ph   |   Group: simeonagabus.morales.cics@ust.edu.ph</w:t>
            </w:r>
          </w:p>
        </w:tc>
      </w:tr>
    </w:tbl>
    <w:p>
      <w:pPr>
        <w:spacing w:before="160" w:after="80"/>
      </w:pPr>
      <w:r>
        <w:rPr>
          <w:rFonts w:ascii="Arial" w:hAnsi="Arial"/>
          <w:b/>
          <w:color w:val="002060"/>
          <w:sz w:val="21"/>
        </w:rPr>
        <w:t>II. ASSESSMENT POINTS FOR REVIEW</w:t>
      </w:r>
    </w:p>
    <w:p>
      <w:pPr>
        <w:spacing w:before="0" w:after="80"/>
      </w:pPr>
      <w:r>
        <w:rPr>
          <w:rFonts w:ascii="Arial" w:hAnsi="Arial"/>
          <w:i/>
          <w:sz w:val="17"/>
        </w:rPr>
        <w:t>*Possible Answers: Yes, No, or NA (Not Applicable). Citations cross-referenced with Full Proposal.pdf (102 Pages).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744"/>
        <w:gridCol w:w="1152"/>
        <w:gridCol w:w="1584"/>
        <w:gridCol w:w="3744"/>
      </w:tblGrid>
      <w:tr>
        <w:trPr>
          <w:cantSplit/>
        </w:trPr>
        <w:tc>
          <w:tcPr>
            <w:tcW w:type="dxa" w:w="2556"/>
            <w:tcMar>
              <w:top w:w="70" w:type="dxa"/>
              <w:bottom w:w="70" w:type="dxa"/>
              <w:left w:w="100" w:type="dxa"/>
              <w:right w:w="100" w:type="dxa"/>
            </w:tcMar>
            <w:shd w:fill="D9E1F2"/>
          </w:tcPr>
          <w:p>
            <w:pPr>
              <w:spacing w:before="0" w:after="0" w:line="264" w:lineRule="auto"/>
              <w:jc w:val="left"/>
            </w:pPr>
            <w:r>
              <w:rPr>
                <w:rFonts w:ascii="Arial" w:hAnsi="Arial"/>
                <w:b/>
                <w:sz w:val="17"/>
              </w:rPr>
              <w:t>Guide questions for reviewing the proposal/protocol</w:t>
            </w:r>
          </w:p>
        </w:tc>
        <w:tc>
          <w:tcPr>
            <w:tcW w:type="dxa" w:w="2556"/>
            <w:tcMar>
              <w:top w:w="70" w:type="dxa"/>
              <w:bottom w:w="70" w:type="dxa"/>
              <w:left w:w="100" w:type="dxa"/>
              <w:right w:w="100" w:type="dxa"/>
            </w:tcMar>
            <w:shd w:fill="D9E1F2"/>
          </w:tcPr>
          <w:p>
            <w:pPr>
              <w:spacing w:before="0" w:after="0" w:line="264" w:lineRule="auto"/>
              <w:jc w:val="center"/>
            </w:pPr>
            <w:r>
              <w:rPr>
                <w:rFonts w:ascii="Arial" w:hAnsi="Arial"/>
                <w:b/>
                <w:sz w:val="17"/>
              </w:rPr>
              <w:t>Present in protocol*</w:t>
            </w:r>
          </w:p>
        </w:tc>
        <w:tc>
          <w:tcPr>
            <w:tcW w:type="dxa" w:w="2556"/>
            <w:tcMar>
              <w:top w:w="70" w:type="dxa"/>
              <w:bottom w:w="70" w:type="dxa"/>
              <w:left w:w="100" w:type="dxa"/>
              <w:right w:w="100" w:type="dxa"/>
            </w:tcMar>
            <w:shd w:fill="D9E1F2"/>
          </w:tcPr>
          <w:p>
            <w:pPr>
              <w:spacing w:before="0" w:after="0" w:line="264" w:lineRule="auto"/>
              <w:jc w:val="center"/>
            </w:pPr>
            <w:r>
              <w:rPr>
                <w:rFonts w:ascii="Arial" w:hAnsi="Arial"/>
                <w:b/>
                <w:sz w:val="17"/>
              </w:rPr>
              <w:t>Page &amp; Line in Full Proposal.pdf</w:t>
            </w:r>
          </w:p>
        </w:tc>
        <w:tc>
          <w:tcPr>
            <w:tcW w:type="dxa" w:w="2556"/>
            <w:tcMar>
              <w:top w:w="70" w:type="dxa"/>
              <w:bottom w:w="70" w:type="dxa"/>
              <w:left w:w="100" w:type="dxa"/>
              <w:right w:w="100" w:type="dxa"/>
            </w:tcMar>
            <w:shd w:fill="D9E1F2"/>
          </w:tcPr>
          <w:p>
            <w:pPr>
              <w:spacing w:before="0" w:after="0" w:line="264" w:lineRule="auto"/>
              <w:jc w:val="left"/>
            </w:pPr>
            <w:r>
              <w:rPr>
                <w:rFonts w:ascii="Arial" w:hAnsi="Arial"/>
                <w:b/>
                <w:sz w:val="17"/>
              </w:rPr>
              <w:t>Reviewer’s Comments and Suggestions (Protocol Rationale &amp; Justification)</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study have social value? (e.g., scientific value, relevance to national /community needs)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5, Lines 6–18;</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Addresses high-priority agricultural food security in the Philippines (PSA, 2026). Solanaceae crops suffer 50%–90% yield destruction from Late Blight and Bacterial Wilt. SolanaWatch provides pre-symptomatic microclimatic early warnings, mitigating crop failure and reducing excessive reactive chemical spraying.</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 study background adequate?</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5, Lines 6–23;</w:t>
              <w:br/>
              <w:t>Page 6, Lines 1–25;</w:t>
              <w:br/>
              <w:t>Pages 17–20, Lines 1–25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Background thoroughly details Philippine agricultural production statistics (PSA, 2026), specific biological etiology of P. infestans and R. pseudosolanacearum, limitations of manual visual scouting, and the latency of post-symptomatic camera AI apps.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Review of Literature support the research questions?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Pages 17–33, Lines 1–25;</w:t>
              <w:br/>
              <w:t>Pages 93–101 (Bibliography)</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Cites 2020–2026 peer-reviewed literature across embedded computing (ESP32 vs. Leonardo vs. Pi 4), sensor physics, solar PV/LiFePO4 battery sizing, and disease risk algorithms across 8+ pages of contemporary references.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 study objectives Specific, Measurable, Attainable, Realistic, and Time-bound?</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12, Lines 5–24</w:t>
              <w:br/>
              <w:t>(General &amp; Specific Obj. 1–6)</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Outlines 1 General Objective and 6 Specific Objectives with explicit measurable targets: 5-parameter sensing node, 47-day power autonomy, Turso database deduplication, Wallin SV/Hydrothermal risk engine, React dashboard, and ISO/IEC 25010 evaluations.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 research design appropriate?</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Pages 51–55, Lines 1–25</w:t>
              <w:br/>
              <w:t>(Figure 2, Page 53)</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Employs the Prototyping Model facilitating iterative hardware assembly, embedded C++ firmware optimization, Watchdog timer verification, and progressive user interface refinements.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 population identified and defined?</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6, Lines 16–22;</w:t>
              <w:br/>
              <w:t>Page 11, Lines 1–20;</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Target population is clearly delimited to smallholder Solanaceae crop farmers (tomato, eggplant, pepper, potato) and LGU/DA agricultural extension technicians in the Philippines.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 Is the selection and recruitment of study participants described?</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78, Lines 15–25;</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Purposive sampling is used to recruit 10 adult participants (growers and agricultural technicians). Recruitment is voluntary, non-coercive, and fully informed prior to software usability evaluation.</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 Is the sample size justified?</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78, Lines 15–25;</w:t>
              <w:br/>
              <w:t>Page 86,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Sample size of N = 10 respondents strictly adheres to empirical System Usability Scale (SUS) usability engineering standards (Turner, 2022; ISO/IEC 25010), where 8–12 participants identify &gt;80%–90% of UI obstacles.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 plan for data analysis described? Are there dummy tables?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Pages 76–81</w:t>
              <w:br/>
              <w:t>(Section 3.4 Test Plan)</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Data analysis plans include structured ISO/IEC 25010 test matrices, sensor calibration curves (ice bath, salt chamber, 2-point soil), Wi-Fi RSSI packet delivery profiling, and standard SUS percentile ranking tables.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research need to be carried out with human participants?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10, Lines 1–15;</w:t>
              <w:br/>
              <w:t>Page 78, Lines 15–25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Human involvement is necessary solely to evaluate the usability, operational clarity, and decision-support efficacy of the React.js web dashboard. Environmental microclimate data collection is autonomous.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study have a vulnerability issue?</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No</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11, Lines 1–20;</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 The study does not involve vulnerable populations (such as minors, pregnant women, prisoners, or cognitively impaired individuals). All participants are consenting adult farmers and agricultural professionals.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appropriate mechanisms/interventions in place to address the vulnerability issue/s?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NA</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N/A</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Not Applicable. No vulnerable groups are involved. Standard ethical safeguards—including voluntary participation, informed consent in Tagalog/English, and the right to withdraw without penalty—are strictly enforced.</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risks/ probable harms to the human participants in the study?</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No</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10, Lines 1–15;</w:t>
              <w:br/>
              <w:t>Pages 76–81</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 The study poses minimal risk (less than or equal to routine daily computing activities). There are no medical, clinical, psychological, physical, or invasive interventions. Human tasks consist strictly of viewing a web dashboard and answering a 10-item survey.</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measures to mitigate the risks?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Pages 76–81;</w:t>
              <w:br/>
              <w:t>Page 86,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Participants receive plain-language briefings prior to participation. Survey participation is anonymous, responses are confidential, and testing sessions are conducted in comfortable environments with zero commercial coercion.</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measures to manage possible adverse events?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NA</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N/A</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Not Applicable. Due to the non-invasive nature of software usability testing, adverse physical or psychological events are not anticipated. Contact details of the Primary Investigator and Project Adviser are provided.</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study have direct and indirect benefits to the participants? community?</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5, Lines 6–18;</w:t>
              <w:br/>
              <w:t>Page 11, Lines 1–20;</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Direct benefits: Participating farmers gain immediate access to localized microclimate data and pre-symptomatic agronomic recommendations. Indirect benefits: Mitigates crop failure, lowers chemical pesticide costs, and bolsters food security.</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measures to ensure privacy and confidentiality of data from collection, handling, storage, and disposal?</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37–38 (FR-1, FR-10);</w:t>
              <w:br/>
              <w:t>Page 40 (NFR-4 Security);</w:t>
              <w:br/>
              <w:t>Pages 76–81</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Full compliance with RA 10173 (Data Privacy Act of 2012): usability survey responses are completely anonymized; dashboard credentials use Argon2/Bcrypt salted hashes; cloud telemetry uses HTTPS/TLS 1.3 encryption; no personally identifiable farm data is publicly exposed.</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 informed consent process described? Is the manner appropriate considering the target participants?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78, Lines 15–25;</w:t>
              <w:br/>
              <w:t>Page 85, Lines 1–15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Informed consent is administered using plain-language written forms available in both English and Filipino/Tagalog. Researchers verbally explain the research purpose, non-invasive procedures, voluntariness, confidentiality, and data usage before obtaining written signatures.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Is/are the investigator/s adequately trained and do they have sufficient experience to undertake the study?</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Curriculum Vitae;</w:t>
              <w:br/>
              <w:t>Pages 68–73 (Project Dev. Plan)</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Student researchers are senior IT students trained in IoT prototyping, microcontrollers, database architecture, and web systems development at UST CICS, working under the continuous academic supervision of Project Adviser Prof. Eugenia R. Zhuo, DIT.</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Is there a disclosure of conflict of interest?</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5, Lines 1–5;</w:t>
              <w:br/>
              <w:t>Conflict of Interest Form</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The investigators explicitly declare no commercial, financial, or institutional conflicts of interest. The project is an independent undergraduate capstone study with no sponsorship or affiliation with commercial pesticide or agrochemical companies.</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 research facilities adequate?</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84, Lines 1–20</w:t>
              <w:br/>
              <w:t>(Internal Environment)</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The research is supported by the IoT, Embedded Systems, and Networking Laboratories of the UST Blessed Pier Giorgio Frassati Building, equipped with oscilloscopes, DC power analyzers, calibration baths, and controlled testing equipment.</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Does the study agree to relevant national and international ethical guidelines?</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Pages 76–81;</w:t>
              <w:br/>
              <w:t>Page 86, Lines 1–25</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The study protocol adheres strictly to the Philippine National Health Research System (PNHRS), PHREB National Ethical Guidelines for Health and Health-Related Research (2020), DOST-PCHRD standards, and Republic Act 10173 (Data Privacy Act of 2012).</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Has the study been previously submitted for ethics review in another institution?</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No</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N/A</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 This is the initial research protocol submission presented exclusively to the University of Santo Tomas – College of Information and Computing Sciences Research Ethics Committee (UST CICS REC).</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measures to report results to participants and/or community/institution?</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Yes</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Page 11, Lines 1–20;</w:t>
              <w:br/>
              <w:t>Pages 85–86; Page 90</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Yes. Summary research findings, sensor calibration results, and dashboard access will be disseminated to participating farmers and municipal agricultural offices. The completed capstone manuscript will be cataloged in the UST CICS library repository.</w:t>
            </w:r>
          </w:p>
        </w:tc>
      </w:tr>
      <w:tr>
        <w:trPr>
          <w:cantSplit/>
        </w:trPr>
        <w:tc>
          <w:tcPr>
            <w:tcW w:type="dxa" w:w="2556"/>
            <w:tcMar>
              <w:top w:w="70" w:type="dxa"/>
              <w:bottom w:w="70" w:type="dxa"/>
              <w:left w:w="100" w:type="dxa"/>
              <w:right w:w="100" w:type="dxa"/>
            </w:tcMar>
          </w:tcPr>
          <w:p>
            <w:pPr>
              <w:spacing w:before="0" w:after="0" w:line="264" w:lineRule="auto"/>
              <w:jc w:val="left"/>
            </w:pPr>
            <w:r>
              <w:rPr>
                <w:rFonts w:ascii="Arial" w:hAnsi="Arial"/>
                <w:b w:val="0"/>
                <w:sz w:val="16"/>
              </w:rPr>
              <w:t>Are there any other concerns in the study?</w:t>
            </w:r>
          </w:p>
        </w:tc>
        <w:tc>
          <w:tcPr>
            <w:tcW w:type="dxa" w:w="2556"/>
            <w:tcMar>
              <w:top w:w="70" w:type="dxa"/>
              <w:bottom w:w="70" w:type="dxa"/>
              <w:left w:w="100" w:type="dxa"/>
              <w:right w:w="100" w:type="dxa"/>
            </w:tcMar>
          </w:tcPr>
          <w:p>
            <w:pPr>
              <w:spacing w:before="0" w:after="0" w:line="264" w:lineRule="auto"/>
              <w:jc w:val="center"/>
            </w:pPr>
            <w:r>
              <w:rPr>
                <w:rFonts w:ascii="Arial" w:hAnsi="Arial"/>
                <w:b/>
                <w:sz w:val="16"/>
              </w:rPr>
              <w:t>No</w:t>
            </w:r>
          </w:p>
        </w:tc>
        <w:tc>
          <w:tcPr>
            <w:tcW w:type="dxa" w:w="2556"/>
            <w:tcMar>
              <w:top w:w="70" w:type="dxa"/>
              <w:bottom w:w="70" w:type="dxa"/>
              <w:left w:w="100" w:type="dxa"/>
              <w:right w:w="100" w:type="dxa"/>
            </w:tcMar>
          </w:tcPr>
          <w:p>
            <w:pPr>
              <w:spacing w:before="0" w:after="0" w:line="264" w:lineRule="auto"/>
              <w:jc w:val="center"/>
            </w:pPr>
            <w:r>
              <w:rPr>
                <w:rFonts w:ascii="Arial" w:hAnsi="Arial"/>
                <w:b w:val="0"/>
                <w:sz w:val="16"/>
              </w:rPr>
              <w:t>N/A</w:t>
            </w:r>
          </w:p>
        </w:tc>
        <w:tc>
          <w:tcPr>
            <w:tcW w:type="dxa" w:w="2556"/>
            <w:tcMar>
              <w:top w:w="70" w:type="dxa"/>
              <w:bottom w:w="70" w:type="dxa"/>
              <w:left w:w="100" w:type="dxa"/>
              <w:right w:w="100" w:type="dxa"/>
            </w:tcMar>
          </w:tcPr>
          <w:p>
            <w:pPr>
              <w:spacing w:before="0" w:after="0" w:line="264" w:lineRule="auto"/>
              <w:jc w:val="left"/>
            </w:pPr>
            <w:r>
              <w:rPr>
                <w:rFonts w:ascii="Arial" w:hAnsi="Arial"/>
                <w:b w:val="0"/>
                <w:sz w:val="16"/>
              </w:rPr>
              <w:t>No. The research involves no biological specimens, no gene editing, no environmental contamination, no hazardous voltage (all hardware operates on extra-low voltage &lt;=12V DC), and adheres to all institutional academic safety protocols.</w:t>
            </w:r>
          </w:p>
        </w:tc>
      </w:tr>
    </w:tbl>
    <w:p>
      <w:pPr>
        <w:spacing w:before="160" w:after="40"/>
      </w:pPr>
      <w:r>
        <w:rPr>
          <w:rFonts w:ascii="Arial" w:hAnsi="Arial"/>
          <w:b/>
          <w:sz w:val="17"/>
        </w:rPr>
        <w:t xml:space="preserve">Name of REC Chairman: </w:t>
      </w:r>
      <w:r>
        <w:rPr>
          <w:rFonts w:ascii="Arial" w:hAnsi="Arial"/>
          <w:b/>
          <w:sz w:val="17"/>
        </w:rPr>
        <w:t>Prof. Eugenia R. Zhuo, DIT</w:t>
        <w:br/>
      </w:r>
      <w:r>
        <w:rPr>
          <w:rFonts w:ascii="Arial" w:hAnsi="Arial"/>
          <w:sz w:val="16"/>
        </w:rPr>
        <w:t>Address: Room 2020 UST Blessed Pier Giorgio Frassati Bldg., España Blvd., Sampaloc, Manila, 1015</w:t>
        <w:br/>
        <w:t>Email: cicsrec.cics@ust.edu.ph   |   Tel: 7406-1611 local 8575</w:t>
      </w:r>
    </w:p>
    <w:p>
      <w:r>
        <w:br w:type="page"/>
      </w:r>
    </w:p>
    <w:p>
      <w:pPr>
        <w:spacing w:before="80" w:after="80"/>
        <w:jc w:val="center"/>
      </w:pPr>
      <w:r>
        <w:rPr>
          <w:b/>
          <w:color w:val="666666"/>
          <w:sz w:val="18"/>
        </w:rPr>
        <w:t>---------------------------- FOR ASSIGNED PRIMARY REVIEWERS ONLY ----------------------------</w:t>
      </w:r>
    </w:p>
    <w:p>
      <w:pPr>
        <w:spacing w:before="120" w:after="80"/>
      </w:pPr>
      <w:r>
        <w:rPr>
          <w:rFonts w:ascii="Arial" w:hAnsi="Arial"/>
          <w:b/>
          <w:color w:val="002060"/>
          <w:sz w:val="22"/>
        </w:rPr>
        <w:t>III. REC RECOMMENDATION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68"/>
        <w:gridCol w:w="7056"/>
      </w:tblGrid>
      <w:tr>
        <w:trPr>
          <w:cantSplit/>
        </w:trPr>
        <w:tc>
          <w:tcPr>
            <w:tcW w:type="dxa" w:w="5112"/>
            <w:tcMar>
              <w:top w:w="70" w:type="dxa"/>
              <w:bottom w:w="70" w:type="dxa"/>
              <w:left w:w="100" w:type="dxa"/>
              <w:right w:w="100" w:type="dxa"/>
            </w:tcMar>
            <w:shd w:fill="F9F9F9"/>
          </w:tcPr>
          <w:p>
            <w:pPr>
              <w:spacing w:before="0" w:after="0" w:line="264" w:lineRule="auto"/>
              <w:jc w:val="left"/>
            </w:pPr>
            <w:r>
              <w:rPr>
                <w:rFonts w:ascii="Arial" w:hAnsi="Arial"/>
                <w:b/>
                <w:sz w:val="17"/>
              </w:rPr>
              <w:t>1. Additional Comments and Suggestions:</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br/>
              <w:br/>
              <w:br/>
            </w:r>
          </w:p>
        </w:tc>
      </w:tr>
      <w:tr>
        <w:trPr>
          <w:cantSplit/>
        </w:trPr>
        <w:tc>
          <w:tcPr>
            <w:tcW w:type="dxa" w:w="5112"/>
            <w:tcMar>
              <w:top w:w="70" w:type="dxa"/>
              <w:bottom w:w="70" w:type="dxa"/>
              <w:left w:w="100" w:type="dxa"/>
              <w:right w:w="100" w:type="dxa"/>
            </w:tcMar>
            <w:shd w:fill="F9F9F9"/>
          </w:tcPr>
          <w:p>
            <w:pPr>
              <w:spacing w:before="0" w:after="0" w:line="264" w:lineRule="auto"/>
              <w:jc w:val="left"/>
            </w:pPr>
            <w:r>
              <w:rPr>
                <w:rFonts w:ascii="Arial" w:hAnsi="Arial"/>
                <w:b/>
                <w:sz w:val="17"/>
              </w:rPr>
              <w:t>2. Recommended Action:</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 APPROVED        ☐ FOR MINOR REVISION        ☐ FOR MAJOR REVISION        ☐ DISAPPROVED</w:t>
            </w:r>
          </w:p>
        </w:tc>
      </w:tr>
      <w:tr>
        <w:trPr>
          <w:cantSplit/>
        </w:trPr>
        <w:tc>
          <w:tcPr>
            <w:tcW w:type="dxa" w:w="5112"/>
            <w:tcMar>
              <w:top w:w="70" w:type="dxa"/>
              <w:bottom w:w="70" w:type="dxa"/>
              <w:left w:w="100" w:type="dxa"/>
              <w:right w:w="100" w:type="dxa"/>
            </w:tcMar>
            <w:shd w:fill="F9F9F9"/>
          </w:tcPr>
          <w:p>
            <w:pPr>
              <w:spacing w:before="0" w:after="0" w:line="264" w:lineRule="auto"/>
              <w:jc w:val="left"/>
            </w:pPr>
            <w:r>
              <w:rPr>
                <w:rFonts w:ascii="Arial" w:hAnsi="Arial"/>
                <w:b/>
                <w:sz w:val="17"/>
              </w:rPr>
              <w:t>3. Primary Reviewer’s Information:</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Name and Signature: ____________________________________________________</w:t>
            </w:r>
          </w:p>
        </w:tc>
      </w:tr>
      <w:tr>
        <w:trPr>
          <w:cantSplit/>
        </w:trPr>
        <w:tc>
          <w:tcPr>
            <w:tcW w:type="dxa" w:w="5112"/>
            <w:tcMar>
              <w:top w:w="70" w:type="dxa"/>
              <w:bottom w:w="70" w:type="dxa"/>
              <w:left w:w="100" w:type="dxa"/>
              <w:right w:w="100" w:type="dxa"/>
            </w:tcMar>
            <w:shd w:fill="F9F9F9"/>
          </w:tcPr>
          <w:p>
            <w:pPr>
              <w:spacing w:before="0" w:after="0" w:line="264" w:lineRule="auto"/>
              <w:jc w:val="left"/>
            </w:pPr>
            <w:r>
              <w:rPr>
                <w:rFonts w:ascii="Arial" w:hAnsi="Arial"/>
                <w:b/>
                <w:sz w:val="17"/>
              </w:rPr>
              <w:t>Date Reviewed:</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________________________________________</w:t>
            </w:r>
          </w:p>
        </w:tc>
      </w:tr>
      <w:tr>
        <w:trPr>
          <w:cantSplit/>
        </w:trPr>
        <w:tc>
          <w:tcPr>
            <w:tcW w:type="dxa" w:w="5112"/>
            <w:tcMar>
              <w:top w:w="70" w:type="dxa"/>
              <w:bottom w:w="70" w:type="dxa"/>
              <w:left w:w="100" w:type="dxa"/>
              <w:right w:w="100" w:type="dxa"/>
            </w:tcMar>
            <w:shd w:fill="F9F9F9"/>
          </w:tcPr>
          <w:p>
            <w:pPr>
              <w:spacing w:before="0" w:after="0" w:line="264" w:lineRule="auto"/>
              <w:jc w:val="left"/>
            </w:pPr>
            <w:r>
              <w:rPr>
                <w:rFonts w:ascii="Arial" w:hAnsi="Arial"/>
                <w:b/>
                <w:sz w:val="17"/>
              </w:rPr>
              <w:t>Date Submitted to Secretariat:</w:t>
            </w:r>
          </w:p>
        </w:tc>
        <w:tc>
          <w:tcPr>
            <w:tcW w:type="dxa" w:w="5112"/>
            <w:tcMar>
              <w:top w:w="70" w:type="dxa"/>
              <w:bottom w:w="70" w:type="dxa"/>
              <w:left w:w="100" w:type="dxa"/>
              <w:right w:w="100" w:type="dxa"/>
            </w:tcMar>
          </w:tcPr>
          <w:p>
            <w:pPr>
              <w:spacing w:before="0" w:after="0" w:line="264" w:lineRule="auto"/>
              <w:jc w:val="left"/>
            </w:pPr>
            <w:r>
              <w:rPr>
                <w:rFonts w:ascii="Arial" w:hAnsi="Arial"/>
                <w:b w:val="0"/>
                <w:sz w:val="17"/>
              </w:rPr>
              <w:t>________________________________________</w:t>
            </w:r>
          </w:p>
        </w:tc>
      </w:tr>
      <w:tr>
        <w:trPr>
          <w:cantSplit/>
        </w:trPr>
        <w:tc>
          <w:tcPr>
            <w:tcW w:type="dxa" w:w="10224"/>
            <w:gridSpan w:val="2"/>
            <w:tcMar>
              <w:top w:w="70" w:type="dxa"/>
              <w:bottom w:w="70" w:type="dxa"/>
              <w:left w:w="100" w:type="dxa"/>
              <w:right w:w="100" w:type="dxa"/>
            </w:tcMar>
          </w:tcPr>
          <w:p>
            <w:pPr>
              <w:spacing w:before="0" w:after="0" w:line="264" w:lineRule="auto"/>
              <w:jc w:val="center"/>
            </w:pPr>
            <w:r>
              <w:rPr>
                <w:rFonts w:ascii="Arial" w:hAnsi="Arial"/>
                <w:b w:val="0"/>
                <w:sz w:val="16"/>
              </w:rPr>
              <w:t>--------------------------------------------- END OF DOCUMENT ---------------------------------------------</w:t>
            </w:r>
          </w:p>
        </w:tc>
      </w:tr>
    </w:tbl>
    <w:sectPr w:rsidR="00FC693F" w:rsidRPr="0006063C" w:rsidSect="00034616">
      <w:footerReference w:type="default" r:id="rId9"/>
      <w:pgSz w:w="12240" w:h="1872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66666"/>
        <w:sz w:val="17"/>
      </w:rPr>
      <w:t>FORM 4.2: Research Protocol Assessment Form</w:t>
      <w:br/>
      <w:t xml:space="preserve">13 May 2024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