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bottom w:val="single" w:sz="6" w:space="0" w:color="000000"/>
          <w:left w:val="none"/>
          <w:right w:val="none"/>
          <w:insideH w:val="none"/>
          <w:insideV w:val="none"/>
        </w:tblBorders>
      </w:tblPr>
      <w:tblGrid>
        <w:gridCol w:w="1584"/>
        <w:gridCol w:w="7056"/>
        <w:gridCol w:w="1584"/>
      </w:tblGrid>
      <w:tr>
        <w:tc>
          <w:tcPr>
            <w:tcW w:type="dxa" w:w="3408"/>
            <w:vAlign w:val="center"/>
          </w:tcPr>
          <w:p>
            <w:pPr>
              <w:jc w:val="left"/>
            </w:pPr>
            <w:r>
              <w:drawing>
                <wp:inline xmlns:a="http://schemas.openxmlformats.org/drawingml/2006/main" xmlns:pic="http://schemas.openxmlformats.org/drawingml/2006/picture">
                  <wp:extent cx="868680" cy="817581"/>
                  <wp:docPr id="1" name="Picture 1"/>
                  <wp:cNvGraphicFramePr>
                    <a:graphicFrameLocks noChangeAspect="1"/>
                  </wp:cNvGraphicFramePr>
                  <a:graphic>
                    <a:graphicData uri="http://schemas.openxmlformats.org/drawingml/2006/picture">
                      <pic:pic>
                        <pic:nvPicPr>
                          <pic:cNvPr id="0" name="logo_1.png"/>
                          <pic:cNvPicPr/>
                        </pic:nvPicPr>
                        <pic:blipFill>
                          <a:blip r:embed="rId10"/>
                          <a:stretch>
                            <a:fillRect/>
                          </a:stretch>
                        </pic:blipFill>
                        <pic:spPr>
                          <a:xfrm>
                            <a:off x="0" y="0"/>
                            <a:ext cx="868680" cy="817581"/>
                          </a:xfrm>
                          <a:prstGeom prst="rect"/>
                        </pic:spPr>
                      </pic:pic>
                    </a:graphicData>
                  </a:graphic>
                </wp:inline>
              </w:drawing>
            </w:r>
          </w:p>
        </w:tc>
        <w:tc>
          <w:tcPr>
            <w:tcW w:type="dxa" w:w="3408"/>
            <w:vAlign w:val="center"/>
          </w:tcPr>
          <w:p>
            <w:pPr>
              <w:spacing w:before="0" w:after="40" w:line="276" w:lineRule="auto"/>
              <w:jc w:val="center"/>
            </w:pPr>
            <w:r>
              <w:rPr>
                <w:rFonts w:ascii="Arial" w:hAnsi="Arial"/>
                <w:b/>
                <w:color w:val="111111"/>
                <w:sz w:val="22"/>
              </w:rPr>
              <w:t>UNIVERSITY OF SANTO TOMAS</w:t>
              <w:br/>
            </w:r>
            <w:r>
              <w:rPr>
                <w:rFonts w:ascii="Arial" w:hAnsi="Arial"/>
                <w:b/>
                <w:color w:val="222222"/>
                <w:sz w:val="20"/>
              </w:rPr>
              <w:t>COLLEGE OF INFORMATION AND COMPUTING SCIENCES</w:t>
              <w:br/>
            </w:r>
            <w:r>
              <w:rPr>
                <w:rFonts w:ascii="Arial" w:hAnsi="Arial"/>
                <w:b/>
                <w:color w:val="002060"/>
                <w:sz w:val="23"/>
              </w:rPr>
              <w:t>APPLICATION FOR ETHICS REVIEW OF A NEW PROTOCOL FORM</w:t>
              <w:br/>
            </w:r>
          </w:p>
        </w:tc>
        <w:tc>
          <w:tcPr>
            <w:tcW w:type="dxa" w:w="3408"/>
            <w:vAlign w:val="center"/>
          </w:tcPr>
          <w:p>
            <w:pPr>
              <w:jc w:val="right"/>
            </w:pPr>
            <w:r>
              <w:drawing>
                <wp:inline xmlns:a="http://schemas.openxmlformats.org/drawingml/2006/main" xmlns:pic="http://schemas.openxmlformats.org/drawingml/2006/picture">
                  <wp:extent cx="868680" cy="1024802"/>
                  <wp:docPr id="2" name="Picture 2"/>
                  <wp:cNvGraphicFramePr>
                    <a:graphicFrameLocks noChangeAspect="1"/>
                  </wp:cNvGraphicFramePr>
                  <a:graphic>
                    <a:graphicData uri="http://schemas.openxmlformats.org/drawingml/2006/picture">
                      <pic:pic>
                        <pic:nvPicPr>
                          <pic:cNvPr id="0" name="logo_2.png"/>
                          <pic:cNvPicPr/>
                        </pic:nvPicPr>
                        <pic:blipFill>
                          <a:blip r:embed="rId11"/>
                          <a:stretch>
                            <a:fillRect/>
                          </a:stretch>
                        </pic:blipFill>
                        <pic:spPr>
                          <a:xfrm>
                            <a:off x="0" y="0"/>
                            <a:ext cx="868680" cy="1024802"/>
                          </a:xfrm>
                          <a:prstGeom prst="rect"/>
                        </pic:spPr>
                      </pic:pic>
                    </a:graphicData>
                  </a:graphic>
                </wp:inline>
              </w:drawing>
            </w:r>
          </w:p>
        </w:tc>
      </w:tr>
    </w:tbl>
    <w:p>
      <w:pPr>
        <w:spacing w:after="80"/>
      </w:pPr>
    </w:p>
    <w:p>
      <w:pPr>
        <w:spacing w:before="40" w:after="120"/>
      </w:pPr>
      <w:r>
        <w:rPr>
          <w:rFonts w:ascii="Arial" w:hAnsi="Arial"/>
          <w:b/>
          <w:sz w:val="19"/>
        </w:rPr>
        <w:t xml:space="preserve">Instructions to the Researcher: </w:t>
      </w:r>
      <w:r>
        <w:rPr>
          <w:rFonts w:ascii="Arial" w:hAnsi="Arial"/>
          <w:i/>
          <w:sz w:val="19"/>
        </w:rPr>
        <w:t>Please accomplish this form and ensure that you have included in your submission the documents that you checked below (in Section 3: Checklist of Documents). Incomplete applications will not be processed for ethics review.</w:t>
      </w:r>
    </w:p>
    <w:p>
      <w:pPr>
        <w:spacing w:before="120" w:after="80"/>
      </w:pPr>
      <w:r>
        <w:rPr>
          <w:rFonts w:ascii="Arial" w:hAnsi="Arial"/>
          <w:b/>
          <w:color w:val="002060"/>
          <w:sz w:val="22"/>
        </w:rPr>
        <w:t>I. PROTOCOL INFORMATION</w:t>
      </w:r>
    </w:p>
    <w:p>
      <w:pPr>
        <w:spacing w:before="40" w:after="80"/>
      </w:pPr>
      <w:r>
        <w:rPr>
          <w:rFonts w:ascii="Arial" w:hAnsi="Arial"/>
          <w:b/>
          <w:sz w:val="20"/>
        </w:rPr>
        <w:t>1. General Information</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556"/>
        <w:gridCol w:w="2556"/>
        <w:gridCol w:w="2556"/>
        <w:gridCol w:w="2556"/>
      </w:tblGrid>
      <w:tr>
        <w:trPr>
          <w:cantSplit/>
        </w:trPr>
        <w:tc>
          <w:tcPr>
            <w:tcW w:type="dxa" w:w="10224"/>
            <w:gridSpan w:val="4"/>
            <w:tcMar>
              <w:top w:w="80" w:type="dxa"/>
              <w:bottom w:w="80" w:type="dxa"/>
              <w:left w:w="100" w:type="dxa"/>
              <w:right w:w="100" w:type="dxa"/>
            </w:tcMar>
            <w:shd w:fill="F2F4F7"/>
          </w:tcPr>
          <w:p>
            <w:pPr>
              <w:spacing w:before="0" w:after="0" w:line="264" w:lineRule="auto"/>
              <w:jc w:val="left"/>
            </w:pPr>
            <w:r>
              <w:rPr>
                <w:rFonts w:ascii="Arial" w:hAnsi="Arial"/>
                <w:b/>
                <w:sz w:val="19"/>
              </w:rPr>
              <w:t xml:space="preserve">*Title of Study: </w:t>
            </w:r>
            <w:r>
              <w:rPr>
                <w:rFonts w:ascii="Arial" w:hAnsi="Arial"/>
                <w:b/>
                <w:sz w:val="19"/>
              </w:rPr>
              <w:t>SolanaWatch: An IoT-Based Disease Early Warning System for Soil-Grown Solanaceae Crops</w:t>
            </w:r>
          </w:p>
        </w:tc>
      </w:tr>
      <w:tr>
        <w:trPr>
          <w:cantSplit/>
        </w:trPr>
        <w:tc>
          <w:tcPr>
            <w:tcW w:type="dxa" w:w="5760"/>
            <w:gridSpan w:val="2"/>
            <w:tcMar>
              <w:top w:w="80" w:type="dxa"/>
              <w:bottom w:w="80" w:type="dxa"/>
              <w:left w:w="100" w:type="dxa"/>
              <w:right w:w="100" w:type="dxa"/>
            </w:tcMar>
          </w:tcPr>
          <w:p>
            <w:pPr>
              <w:spacing w:before="0" w:after="0" w:line="264" w:lineRule="auto"/>
              <w:jc w:val="left"/>
            </w:pPr>
            <w:r>
              <w:rPr>
                <w:rFonts w:ascii="Arial" w:hAnsi="Arial"/>
                <w:b/>
                <w:sz w:val="17"/>
              </w:rPr>
              <w:t>*REC Code (To be provided by REC):</w:t>
              <w:br/>
            </w:r>
            <w:r>
              <w:rPr>
                <w:rFonts w:ascii="Arial" w:hAnsi="Arial"/>
                <w:b w:val="0"/>
                <w:sz w:val="17"/>
              </w:rPr>
              <w:t>[To be assigned by REC Secretariat]</w:t>
            </w:r>
          </w:p>
        </w:tc>
        <w:tc>
          <w:tcPr>
            <w:tcW w:type="dxa" w:w="4464"/>
            <w:gridSpan w:val="2"/>
            <w:tcMar>
              <w:top w:w="80" w:type="dxa"/>
              <w:bottom w:w="80" w:type="dxa"/>
              <w:left w:w="100" w:type="dxa"/>
              <w:right w:w="100" w:type="dxa"/>
            </w:tcMar>
          </w:tcPr>
          <w:p>
            <w:pPr>
              <w:spacing w:before="0" w:after="0" w:line="264" w:lineRule="auto"/>
              <w:jc w:val="left"/>
            </w:pPr>
            <w:r>
              <w:rPr>
                <w:rFonts w:ascii="Arial" w:hAnsi="Arial"/>
                <w:b/>
                <w:sz w:val="17"/>
              </w:rPr>
              <w:t>*Study Site:</w:t>
              <w:br/>
            </w:r>
            <w:r>
              <w:rPr>
                <w:rFonts w:ascii="Arial" w:hAnsi="Arial"/>
                <w:b w:val="0"/>
                <w:sz w:val="17"/>
              </w:rPr>
              <w:t>Blessed Pier Giorgio Frassati Building, University of Santo Tomas, España Blvd., Sampaloc, Manila, 1015, Philippines (IoT &amp; Embedded Systems Development Laboratories, UST CICS)</w:t>
            </w:r>
          </w:p>
        </w:tc>
      </w:tr>
      <w:tr>
        <w:trPr>
          <w:cantSplit/>
        </w:trPr>
        <w:tc>
          <w:tcPr>
            <w:tcW w:type="dxa" w:w="5760"/>
            <w:gridSpan w:val="2"/>
            <w:tcMar>
              <w:top w:w="80" w:type="dxa"/>
              <w:bottom w:w="80" w:type="dxa"/>
              <w:left w:w="100" w:type="dxa"/>
              <w:right w:w="100" w:type="dxa"/>
            </w:tcMar>
          </w:tcPr>
          <w:p>
            <w:pPr>
              <w:spacing w:before="0" w:after="0" w:line="264" w:lineRule="auto"/>
              <w:jc w:val="left"/>
            </w:pPr>
            <w:r>
              <w:rPr>
                <w:rFonts w:ascii="Arial" w:hAnsi="Arial"/>
                <w:b/>
                <w:sz w:val="18"/>
              </w:rPr>
              <w:t>*Name of Primary Researcher:</w:t>
              <w:br/>
            </w:r>
            <w:r>
              <w:rPr>
                <w:rFonts w:ascii="Arial" w:hAnsi="Arial"/>
                <w:b/>
                <w:sz w:val="18"/>
              </w:rPr>
              <w:t>RAPADA, RAVEN M.</w:t>
            </w:r>
          </w:p>
        </w:tc>
        <w:tc>
          <w:tcPr>
            <w:tcW w:type="dxa" w:w="4464"/>
            <w:gridSpan w:val="2"/>
            <w:tcMar>
              <w:top w:w="80" w:type="dxa"/>
              <w:bottom w:w="80" w:type="dxa"/>
              <w:left w:w="100" w:type="dxa"/>
              <w:right w:w="100" w:type="dxa"/>
            </w:tcMar>
          </w:tcPr>
          <w:p>
            <w:pPr>
              <w:spacing w:before="0" w:after="0" w:line="264" w:lineRule="auto"/>
              <w:jc w:val="left"/>
            </w:pPr>
            <w:r>
              <w:rPr>
                <w:rFonts w:ascii="Arial" w:hAnsi="Arial"/>
                <w:b/>
                <w:sz w:val="17"/>
              </w:rPr>
              <w:t>*Contact Tel / Mobile No:</w:t>
              <w:br/>
            </w:r>
            <w:r>
              <w:rPr>
                <w:rFonts w:ascii="Arial" w:hAnsi="Arial"/>
                <w:b w:val="0"/>
                <w:sz w:val="17"/>
              </w:rPr>
              <w:t>(02) 8786-1611 local 8575 / 8401   |   Mobile: +63 917 123 4567</w:t>
            </w:r>
          </w:p>
        </w:tc>
      </w:tr>
      <w:tr>
        <w:trPr>
          <w:cantSplit/>
        </w:trPr>
        <w:tc>
          <w:tcPr>
            <w:tcW w:type="dxa" w:w="5760"/>
            <w:gridSpan w:val="2"/>
            <w:tcMar>
              <w:top w:w="80" w:type="dxa"/>
              <w:bottom w:w="80" w:type="dxa"/>
              <w:left w:w="100" w:type="dxa"/>
              <w:right w:w="100" w:type="dxa"/>
            </w:tcMar>
          </w:tcPr>
          <w:p>
            <w:pPr>
              <w:spacing w:before="0" w:after="0" w:line="264" w:lineRule="auto"/>
              <w:jc w:val="left"/>
            </w:pPr>
            <w:r>
              <w:rPr>
                <w:rFonts w:ascii="Arial" w:hAnsi="Arial"/>
                <w:b/>
                <w:sz w:val="17"/>
              </w:rPr>
              <w:t>*Co-researchers (if any):</w:t>
              <w:br/>
            </w:r>
            <w:r>
              <w:rPr>
                <w:rFonts w:ascii="Arial" w:hAnsi="Arial"/>
                <w:b w:val="0"/>
                <w:sz w:val="17"/>
              </w:rPr>
              <w:t>1. Morales, Simeon Agabus S.</w:t>
              <w:br/>
              <w:t>2. Hernandez, Andrei S.</w:t>
              <w:br/>
              <w:t>3. Eugenio, Vince Angelo</w:t>
              <w:br/>
              <w:t>Project Adviser: Prof. Eugenia R. Zhuo, DIT</w:t>
            </w:r>
          </w:p>
        </w:tc>
        <w:tc>
          <w:tcPr>
            <w:tcW w:type="dxa" w:w="4464"/>
            <w:gridSpan w:val="2"/>
            <w:tcMar>
              <w:top w:w="80" w:type="dxa"/>
              <w:bottom w:w="80" w:type="dxa"/>
              <w:left w:w="100" w:type="dxa"/>
              <w:right w:w="100" w:type="dxa"/>
            </w:tcMar>
          </w:tcPr>
          <w:p>
            <w:pPr>
              <w:spacing w:before="0" w:after="0" w:line="264" w:lineRule="auto"/>
              <w:jc w:val="left"/>
            </w:pPr>
            <w:r>
              <w:rPr>
                <w:rFonts w:ascii="Arial" w:hAnsi="Arial"/>
                <w:b/>
                <w:sz w:val="17"/>
              </w:rPr>
              <w:t>*Email &amp; Communications:</w:t>
              <w:br/>
            </w:r>
            <w:r>
              <w:rPr>
                <w:rFonts w:ascii="Arial" w:hAnsi="Arial"/>
                <w:b w:val="0"/>
                <w:sz w:val="17"/>
              </w:rPr>
              <w:t>Primary: raven.rapada.cics@ust.edu.ph</w:t>
              <w:br/>
              <w:t>Group: simeonagabus.morales.cics@ust.edu.ph</w:t>
              <w:br/>
              <w:t>Adviser: erzhuo@ust.edu.ph</w:t>
              <w:br/>
              <w:t>Fax: N/A</w:t>
            </w:r>
          </w:p>
        </w:tc>
      </w:tr>
      <w:tr>
        <w:trPr>
          <w:cantSplit/>
        </w:trPr>
        <w:tc>
          <w:tcPr>
            <w:tcW w:type="dxa" w:w="10224"/>
            <w:gridSpan w:val="4"/>
            <w:tcMar>
              <w:top w:w="80" w:type="dxa"/>
              <w:bottom w:w="80" w:type="dxa"/>
              <w:left w:w="100" w:type="dxa"/>
              <w:right w:w="100" w:type="dxa"/>
            </w:tcMar>
          </w:tcPr>
          <w:p>
            <w:pPr>
              <w:spacing w:before="0" w:after="0" w:line="264" w:lineRule="auto"/>
              <w:jc w:val="left"/>
            </w:pPr>
            <w:r>
              <w:rPr>
                <w:rFonts w:ascii="Arial" w:hAnsi="Arial"/>
                <w:b/>
                <w:sz w:val="18"/>
              </w:rPr>
              <w:t xml:space="preserve">*Institution: </w:t>
            </w:r>
            <w:r>
              <w:rPr>
                <w:rFonts w:ascii="Arial" w:hAnsi="Arial"/>
                <w:b/>
                <w:sz w:val="18"/>
              </w:rPr>
              <w:t>University of Santo Tomas – College of Information and Computing Sciences (Department of Information Technology)</w:t>
            </w:r>
          </w:p>
        </w:tc>
      </w:tr>
      <w:tr>
        <w:trPr>
          <w:cantSplit/>
        </w:trPr>
        <w:tc>
          <w:tcPr>
            <w:tcW w:type="dxa" w:w="10224"/>
            <w:gridSpan w:val="4"/>
            <w:tcMar>
              <w:top w:w="80" w:type="dxa"/>
              <w:bottom w:w="80" w:type="dxa"/>
              <w:left w:w="100" w:type="dxa"/>
              <w:right w:w="100" w:type="dxa"/>
            </w:tcMar>
          </w:tcPr>
          <w:p>
            <w:pPr>
              <w:spacing w:before="0" w:after="0" w:line="264" w:lineRule="auto"/>
              <w:jc w:val="left"/>
            </w:pPr>
            <w:r>
              <w:rPr>
                <w:rFonts w:ascii="Arial" w:hAnsi="Arial"/>
                <w:b/>
                <w:sz w:val="18"/>
              </w:rPr>
              <w:t xml:space="preserve">*Address of Institution: </w:t>
            </w:r>
            <w:r>
              <w:rPr>
                <w:rFonts w:ascii="Arial" w:hAnsi="Arial"/>
                <w:b w:val="0"/>
                <w:sz w:val="18"/>
              </w:rPr>
              <w:t>Room 2020, Blessed Pier Giorgio Frassati Building, España Blvd., Sampaloc, Manila, 1015, Philippines</w:t>
            </w:r>
          </w:p>
        </w:tc>
      </w:tr>
      <w:tr>
        <w:trPr>
          <w:cantSplit/>
        </w:trPr>
        <w:tc>
          <w:tcPr>
            <w:tcW w:type="dxa" w:w="10224"/>
            <w:gridSpan w:val="4"/>
            <w:tcMar>
              <w:top w:w="80" w:type="dxa"/>
              <w:bottom w:w="80" w:type="dxa"/>
              <w:left w:w="100" w:type="dxa"/>
              <w:right w:w="100" w:type="dxa"/>
            </w:tcMar>
          </w:tcPr>
          <w:p>
            <w:pPr>
              <w:spacing w:before="0" w:after="0" w:line="264" w:lineRule="auto"/>
              <w:jc w:val="left"/>
            </w:pPr>
            <w:r>
              <w:rPr>
                <w:rFonts w:ascii="Arial" w:hAnsi="Arial"/>
                <w:b w:val="0"/>
                <w:sz w:val="17"/>
              </w:rPr>
              <w:t>*Type of Study:</w:t>
              <w:br/>
              <w:t>☐ Clinical Trial (Sponsored)            ☐ Clinical Trials (Researcher-initiated)</w:t>
              <w:br/>
              <w:t>☐ Health Operations Research (Health Programs and Policies)</w:t>
              <w:br/>
              <w:t>☐ Social / Behavioral Research          ☐ Public Health / Epidemiologic Research</w:t>
              <w:br/>
              <w:t>☐ Biomedical Research (Retrospective, Prospective, and Diagnostic Studies)</w:t>
              <w:br/>
              <w:t>☐ Stem Cell Research                   ☐ Genetic Research</w:t>
              <w:br/>
              <w:t>☒ Others (Please Specify): Agricultural Information Technology &amp; IoT Agro-Environmental Decision Support System (with Human-Computer Interaction / Usability Evaluation)</w:t>
              <w:br/>
              <w:br/>
              <w:t>Study Multiplicity:   ☐ Multicenter (International)      ☐ Multicenter (National)      ☒ Single Site</w:t>
            </w:r>
          </w:p>
        </w:tc>
      </w:tr>
      <w:tr>
        <w:trPr>
          <w:cantSplit/>
        </w:trPr>
        <w:tc>
          <w:tcPr>
            <w:tcW w:type="dxa" w:w="10224"/>
            <w:gridSpan w:val="4"/>
            <w:tcMar>
              <w:top w:w="80" w:type="dxa"/>
              <w:bottom w:w="80" w:type="dxa"/>
              <w:left w:w="100" w:type="dxa"/>
              <w:right w:w="100" w:type="dxa"/>
            </w:tcMar>
          </w:tcPr>
          <w:p>
            <w:pPr>
              <w:spacing w:before="0" w:after="0" w:line="264" w:lineRule="auto"/>
              <w:jc w:val="left"/>
            </w:pPr>
            <w:r>
              <w:rPr>
                <w:rFonts w:ascii="Arial" w:hAnsi="Arial"/>
                <w:b w:val="0"/>
                <w:sz w:val="17"/>
              </w:rPr>
              <w:t>*Source of Funding:</w:t>
              <w:br/>
              <w:t>☒ Self-funded (Undergraduate Capstone Project, UST CICS Department of Information Technology)</w:t>
              <w:br/>
              <w:t>☐ Government-Funded                     ☐ Scholarship / Research Grant</w:t>
              <w:br/>
              <w:t>☐ Sponsored by a Pharmaceutical Company  (Specify: _____________________________)</w:t>
              <w:br/>
              <w:t>☐ Institution-Funded                     ☐ Others: ____________________________________</w:t>
            </w:r>
          </w:p>
        </w:tc>
      </w:tr>
      <w:tr>
        <w:trPr>
          <w:cantSplit/>
        </w:trPr>
        <w:tc>
          <w:tcPr>
            <w:tcW w:type="dxa" w:w="5760"/>
            <w:gridSpan w:val="2"/>
            <w:tcMar>
              <w:top w:w="80" w:type="dxa"/>
              <w:bottom w:w="80" w:type="dxa"/>
              <w:left w:w="100" w:type="dxa"/>
              <w:right w:w="100" w:type="dxa"/>
            </w:tcMar>
          </w:tcPr>
          <w:p>
            <w:pPr>
              <w:spacing w:before="0" w:after="0" w:line="264" w:lineRule="auto"/>
              <w:jc w:val="left"/>
            </w:pPr>
            <w:r>
              <w:rPr>
                <w:rFonts w:ascii="Arial" w:hAnsi="Arial"/>
                <w:b/>
                <w:sz w:val="17"/>
              </w:rPr>
              <w:t>*Duration of the study:</w:t>
              <w:br/>
            </w:r>
            <w:r>
              <w:rPr>
                <w:rFonts w:ascii="Arial" w:hAnsi="Arial"/>
                <w:b w:val="0"/>
                <w:sz w:val="17"/>
              </w:rPr>
              <w:t>Start date: August 2026</w:t>
              <w:br/>
              <w:t>End date:   December 2026 (First Term, AY 2026–2027)</w:t>
            </w:r>
          </w:p>
        </w:tc>
        <w:tc>
          <w:tcPr>
            <w:tcW w:type="dxa" w:w="4464"/>
            <w:gridSpan w:val="2"/>
            <w:tcMar>
              <w:top w:w="80" w:type="dxa"/>
              <w:bottom w:w="80" w:type="dxa"/>
              <w:left w:w="100" w:type="dxa"/>
              <w:right w:w="100" w:type="dxa"/>
            </w:tcMar>
          </w:tcPr>
          <w:p>
            <w:pPr>
              <w:spacing w:before="0" w:after="0" w:line="264" w:lineRule="auto"/>
              <w:jc w:val="left"/>
            </w:pPr>
            <w:r>
              <w:rPr>
                <w:rFonts w:ascii="Arial" w:hAnsi="Arial"/>
                <w:b/>
                <w:sz w:val="17"/>
              </w:rPr>
              <w:t>*No. of study participants:</w:t>
              <w:br/>
            </w:r>
            <w:r>
              <w:rPr>
                <w:rFonts w:ascii="Arial" w:hAnsi="Arial"/>
                <w:b w:val="0"/>
                <w:sz w:val="17"/>
              </w:rPr>
              <w:t>N = 10 participants (Purposive sampling of smallholder Solanaceae farmers, agricultural technicians, and IT/agronomic extension officers strictly for non-invasive System Usability Scale [SUS] evaluations).</w:t>
            </w:r>
          </w:p>
        </w:tc>
      </w:tr>
      <w:tr>
        <w:trPr>
          <w:cantSplit/>
        </w:trPr>
        <w:tc>
          <w:tcPr>
            <w:tcW w:type="dxa" w:w="10224"/>
            <w:gridSpan w:val="4"/>
            <w:tcMar>
              <w:top w:w="80" w:type="dxa"/>
              <w:bottom w:w="80" w:type="dxa"/>
              <w:left w:w="100" w:type="dxa"/>
              <w:right w:w="100" w:type="dxa"/>
            </w:tcMar>
          </w:tcPr>
          <w:p>
            <w:pPr>
              <w:spacing w:before="0" w:after="0" w:line="264" w:lineRule="auto"/>
              <w:jc w:val="left"/>
            </w:pPr>
            <w:r>
              <w:rPr>
                <w:rFonts w:ascii="Arial" w:hAnsi="Arial"/>
                <w:b w:val="0"/>
                <w:sz w:val="17"/>
              </w:rPr>
              <w:t>*Has the Research undergone Technical Review?</w:t>
              <w:br/>
              <w:t>☒ Yes (Oral Proposal Defense completed in Special Term AY 2025–2026 before the CICS IT Capstone Panel of Examiners: Inst. Gabriel Emanuel D. Montano [Lead Panel], Prof. Noel E. Estrella, and Mr. Karlo Angelo Tino. Verdict: Major Revisions; all 24 defense evaluation comments have been fully resolved in the revised manuscript).</w:t>
              <w:br/>
              <w:t>☐ No</w:t>
            </w:r>
          </w:p>
        </w:tc>
      </w:tr>
      <w:tr>
        <w:trPr>
          <w:cantSplit/>
        </w:trPr>
        <w:tc>
          <w:tcPr>
            <w:tcW w:type="dxa" w:w="10224"/>
            <w:gridSpan w:val="4"/>
            <w:tcMar>
              <w:top w:w="80" w:type="dxa"/>
              <w:bottom w:w="80" w:type="dxa"/>
              <w:left w:w="100" w:type="dxa"/>
              <w:right w:w="100" w:type="dxa"/>
            </w:tcMar>
          </w:tcPr>
          <w:p>
            <w:pPr>
              <w:spacing w:before="0" w:after="0" w:line="264" w:lineRule="auto"/>
              <w:jc w:val="left"/>
            </w:pPr>
            <w:r>
              <w:rPr>
                <w:rFonts w:ascii="Arial" w:hAnsi="Arial"/>
                <w:b w:val="0"/>
                <w:sz w:val="17"/>
              </w:rPr>
              <w:t>*Has the Research been submitted to another REC?</w:t>
              <w:br/>
              <w:t>☐ Yes (Specify Institution &amp; Protocol Number: ____________________________________)</w:t>
              <w:br/>
              <w:t>☒ No (First submission to UST CICS Research Ethics Committee)</w:t>
            </w:r>
          </w:p>
        </w:tc>
      </w:tr>
      <w:tr>
        <w:trPr>
          <w:cantSplit/>
        </w:trPr>
        <w:tc>
          <w:tcPr>
            <w:tcW w:type="dxa" w:w="10224"/>
            <w:gridSpan w:val="4"/>
            <w:tcMar>
              <w:top w:w="80" w:type="dxa"/>
              <w:bottom w:w="80" w:type="dxa"/>
              <w:left w:w="100" w:type="dxa"/>
              <w:right w:w="100" w:type="dxa"/>
            </w:tcMar>
            <w:shd w:fill="FAFAFA"/>
          </w:tcPr>
          <w:p>
            <w:pPr>
              <w:spacing w:before="0" w:after="0" w:line="264" w:lineRule="auto"/>
              <w:jc w:val="left"/>
            </w:pPr>
            <w:r>
              <w:rPr>
                <w:rFonts w:ascii="Arial" w:hAnsi="Arial"/>
                <w:b w:val="0"/>
                <w:sz w:val="17"/>
              </w:rPr>
              <w:t>2. Brief Description of the Study:</w:t>
              <w:br/>
              <w:br/>
              <w:t>Paragraph 1 (Agricultural Background &amp; Problem Statement):</w:t>
              <w:br/>
              <w:t>Solanaceae crops, notably tomato (Solanum lycopersicum), eggplant (Solanum melongena), bell pepper (Capsicum annuum), and potato (Solanum tuberosum), represent high-value dietary staples vital to Philippine food security (e.g., quarterly eggplant production exceeds 100,000 MT; tomato yields range between 70,000–93,000 MT; PSA, 2026; p. 5, Lines 6–18). However, cultivation is severely impaired by two devastating microclimatically driven pathologies: Late Blight (Phytophthora infestans) and Bacterial Wilt (Ralstonia pseudosolanacearum). These diseases routinely induce 50% to 90% harvest destruction, forcing growers into reactive, cost-prohibitive chemical spraying. Existing monitoring relies on post-symptomatic visual scouting or image AI apps that detect damage only after irreversible foliar necrotic lesions have developed (p. 6, Lines 1–25).</w:t>
              <w:br/>
              <w:br/>
              <w:t>Paragraph 2 (SolanaWatch IoT Architecture &amp; Edge Decision Support Engine):</w:t>
              <w:br/>
              <w:t>SolanaWatch resolves these shortcomings by deploying an autonomous, solar-assisted IoT microclimatic sensing station directly in the crop field to evaluate pre-symptomatic infection favorability. The edge node features an Espressif ESP32 DevKit V1 microcontroller housed in an IP66 weatherproof enclosure on a 1.5m mast (p. 29, 41, 74). It integrates: (a) a DHT22 sensor inside a louvered Stevenson radiation shield (air temp and RH &gt;= 90%), (b) a DS18B20 digital stainless probe (soil temp at 10cm), (c) a capacitive soil moisture sensor v1.2 (volumetric water content at 10cm), and (d) an industrial IP68 dielectric leaf wetness sensor communicating via RS485 Modbus-RTU (Table 3, p. 41–50). The system operates autonomously via a 20W solar PV panel and a 12.8V 12Ah LiFePO4 battery pack providing 47 days of zero-sunlight autonomy (p. 26, Lines 1–20; p. 67, Lines 10–25). An SPI MicroSD card module maintains local FIFO logging (telemetry_buffer.jsonl) during wireless dropouts, synchronizing via 2.4 GHz Wi-Fi to a cloud backend with a Turso libSQL database (p. 9, 27, 66–67). A disease-risk engine computes adapted Wallin Severity Values (SV) for Late Blight (LWD &gt;= 10h at 12°C–22°C) and a Hydrothermal Soil Risk Index (R_BW) for Bacterial Wilt (Table 5, p. 61–63).</w:t>
              <w:br/>
              <w:br/>
              <w:t>Paragraph 3 (Decision Support Dashboard &amp; Human Ethics Scope):</w:t>
              <w:br/>
              <w:t>A responsive React.js web dashboard provides live microclimate gauges, historical time-series graphs, color-coded risk alerts (Green = Low, Yellow = Moderate, Red = High Risk), and actionable cultural preventative recommendations (Figure 5, p. 66–67). Human participant involvement is strictly limited to 10 adult respondents (smallholder farmers, agricultural technicians, and extension officers) participating in non-invasive System Usability Scale (SUS) evaluations (p. 78, Lines 15–25; p. 85, Lines 1–15). Conforming to RA 10173 (Data Privacy Act of 2012) and PHREB 2020 ethical standards, participation is voluntary, responses are completely anonymized, and no sensitive personal data, biological samples, or medical procedures are involved.</w:t>
            </w:r>
          </w:p>
        </w:tc>
      </w:tr>
    </w:tbl>
    <w:p>
      <w:r>
        <w:br w:type="page"/>
      </w:r>
    </w:p>
    <w:p>
      <w:pPr>
        <w:spacing w:before="80" w:after="80"/>
      </w:pPr>
      <w:r>
        <w:rPr>
          <w:rFonts w:ascii="Arial" w:hAnsi="Arial"/>
          <w:b/>
          <w:color w:val="002060"/>
          <w:sz w:val="22"/>
        </w:rPr>
        <w:t>3. Checklist of Documents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5112"/>
        <w:gridCol w:w="5112"/>
      </w:tblGrid>
      <w:tr>
        <w:trPr>
          <w:cantSplit/>
        </w:trPr>
        <w:tc>
          <w:tcPr>
            <w:tcW w:type="dxa" w:w="5112"/>
            <w:tcMar>
              <w:top w:w="80" w:type="dxa"/>
              <w:bottom w:w="80" w:type="dxa"/>
              <w:left w:w="100" w:type="dxa"/>
              <w:right w:w="100" w:type="dxa"/>
            </w:tcMar>
          </w:tcPr>
          <w:p>
            <w:pPr>
              <w:spacing w:before="0" w:after="0" w:line="264" w:lineRule="auto"/>
              <w:jc w:val="left"/>
            </w:pPr>
            <w:r>
              <w:rPr>
                <w:rFonts w:ascii="Arial" w:hAnsi="Arial"/>
                <w:b w:val="0"/>
                <w:sz w:val="17"/>
              </w:rPr>
              <w:t>Basic Requirements:</w:t>
              <w:br/>
              <w:br/>
              <w:t>☒ Accomplished PROTOCOL ASSESSMENT FORM (Form 4.2)</w:t>
              <w:br/>
              <w:t>☐ Accomplished INFORMED CONSENT ASSESSMENT FORM</w:t>
              <w:br/>
              <w:t>☒ Letter request for review</w:t>
              <w:br/>
              <w:t>☒ Endorsement / Referral Letter</w:t>
              <w:br/>
              <w:t>☒ Full Proposal / Study Protocol (Chapters 1–3 Revised Manuscript, 102 pages)</w:t>
              <w:br/>
              <w:t>☒ Proposal Endorsement Form (signed by adviser Prof. Eugenia R. Zhuo, DIT)</w:t>
              <w:br/>
              <w:t>☒ Technical Review Approval (Oral Proposal Defense Evaluation Form)</w:t>
              <w:br/>
              <w:t>☒ Curriculum Vitae of Researcher/s (Rapada, Morales, Hernandez, Eugenio)</w:t>
              <w:br/>
              <w:t>☒ Declaration of Conflict of Interest</w:t>
              <w:br/>
              <w:t>☒ Submission of Budget (Hardware BoM totaling ₱7,208.00; Table 3, p. 41)</w:t>
              <w:br/>
              <w:t>☒ Informed Consent Form:</w:t>
              <w:br/>
              <w:t xml:space="preserve">     ☒ English version         ☒ Filipino version</w:t>
              <w:br/>
              <w:t xml:space="preserve">     ☐ Others: _________________________________</w:t>
              <w:br/>
              <w:t>☐ Assent Form (if applicable) [N/A: No minor participants]</w:t>
              <w:br/>
              <w:t xml:space="preserve">     ☐ English version         ☐ Filipino version</w:t>
            </w:r>
          </w:p>
        </w:tc>
        <w:tc>
          <w:tcPr>
            <w:tcW w:type="dxa" w:w="5112"/>
            <w:tcMar>
              <w:top w:w="80" w:type="dxa"/>
              <w:bottom w:w="80" w:type="dxa"/>
              <w:left w:w="100" w:type="dxa"/>
              <w:right w:w="100" w:type="dxa"/>
            </w:tcMar>
          </w:tcPr>
          <w:p>
            <w:pPr>
              <w:spacing w:before="0" w:after="0" w:line="264" w:lineRule="auto"/>
              <w:jc w:val="left"/>
            </w:pPr>
            <w:r>
              <w:rPr>
                <w:rFonts w:ascii="Arial" w:hAnsi="Arial"/>
                <w:b w:val="0"/>
                <w:sz w:val="17"/>
              </w:rPr>
              <w:t>Supplementary Documents:</w:t>
              <w:br/>
              <w:br/>
              <w:t>☒ Questionnaire (System Usability Scale [SUS] 10-Item Instrument; p. 78)</w:t>
              <w:br/>
              <w:t>☒ Data Collection Forms (ISO/IEC 25010 Sensor Calibration &amp; Testing Sheets; p. 76–81)</w:t>
              <w:br/>
              <w:t>☐ Product Brochure (if applicable)</w:t>
              <w:br/>
              <w:t>☐ Philippine FDA Marketing Authorization or Import License</w:t>
              <w:br/>
              <w:t>☐ Permit/s for special populations (please specify):</w:t>
              <w:br/>
              <w:t xml:space="preserve">     ___________________________________________________</w:t>
              <w:br/>
              <w:t xml:space="preserve">     ___________________________________________________</w:t>
              <w:br/>
              <w:t>☒ Others (please specify):</w:t>
              <w:br/>
              <w:t xml:space="preserve">     1. Official 24-Point Proposal Defense Revision Compliance Matrix</w:t>
              <w:br/>
              <w:t xml:space="preserve">     2. Complete Circuit Schematic &amp; System Architecture (Figure 3, p. 56)</w:t>
              <w:br/>
              <w:t xml:space="preserve">     3. Physical Prototype Layout &amp; Internal Enclosure Drawings (p. 74)</w:t>
            </w:r>
          </w:p>
        </w:tc>
      </w:tr>
    </w:tbl>
    <w:p>
      <w:pPr>
        <w:spacing w:before="200" w:after="80"/>
      </w:pPr>
      <w:r>
        <w:rPr>
          <w:rFonts w:ascii="Arial" w:hAnsi="Arial"/>
          <w:sz w:val="19"/>
        </w:rPr>
        <w:t>Accomplished by:</w:t>
        <w:br/>
        <w:br/>
        <w:br/>
      </w:r>
      <w:r>
        <w:rPr>
          <w:b/>
        </w:rPr>
        <w:t>____________________________________________________</w:t>
        <w:br/>
      </w:r>
      <w:r>
        <w:rPr>
          <w:b/>
          <w:sz w:val="20"/>
        </w:rPr>
        <w:t>RAPADA, RAVEN M.</w:t>
        <w:br/>
      </w:r>
      <w:r>
        <w:rPr>
          <w:sz w:val="18"/>
        </w:rPr>
        <w:t>Primary Investigator / Corresponding Author, SolanaWatch Capstone Project</w:t>
        <w:br/>
        <w:t>Date Submitted: August 2026</w:t>
      </w:r>
    </w:p>
    <w:p>
      <w:pPr>
        <w:spacing w:before="240" w:after="80"/>
        <w:jc w:val="center"/>
      </w:pPr>
      <w:r>
        <w:rPr>
          <w:b/>
          <w:color w:val="666666"/>
          <w:sz w:val="18"/>
        </w:rPr>
        <w:t>----------------------   To be filled by the REC Secretariat   ----------------------</w:t>
      </w:r>
    </w:p>
    <w:tbl>
      <w:tblPr>
        <w:tblW w:type="auto" w:w="0"/>
        <w:jc w:val="center"/>
        <w:tblLayout w:type="fixed"/>
        <w:tblLook w:firstColumn="1" w:firstRow="1" w:lastColumn="0" w:lastRow="0" w:noHBand="0" w:noVBand="1" w:val="04A0"/>
        <w:tblBorders>
          <w:top w:val="single" w:sz="4" w:space="0" w:color="666666"/>
          <w:bottom w:val="single" w:sz="4" w:space="0" w:color="666666"/>
          <w:left w:val="single" w:sz="4" w:space="0" w:color="666666"/>
          <w:right w:val="single" w:sz="4" w:space="0" w:color="666666"/>
          <w:insideH w:val="single" w:sz="4" w:space="0" w:color="666666"/>
          <w:insideV w:val="single" w:sz="4" w:space="0" w:color="666666"/>
        </w:tblBorders>
      </w:tblPr>
      <w:tblGrid>
        <w:gridCol w:w="3168"/>
        <w:gridCol w:w="7056"/>
      </w:tblGrid>
      <w:tr>
        <w:trPr>
          <w:cantSplit/>
        </w:trPr>
        <w:tc>
          <w:tcPr>
            <w:tcW w:type="dxa" w:w="5112"/>
            <w:tcMar>
              <w:top w:w="80" w:type="dxa"/>
              <w:bottom w:w="80" w:type="dxa"/>
              <w:left w:w="100" w:type="dxa"/>
              <w:right w:w="100" w:type="dxa"/>
            </w:tcMar>
            <w:shd w:fill="F9F9F9"/>
          </w:tcPr>
          <w:p>
            <w:pPr>
              <w:spacing w:before="0" w:after="0" w:line="264" w:lineRule="auto"/>
              <w:jc w:val="left"/>
            </w:pPr>
            <w:r>
              <w:rPr>
                <w:rFonts w:ascii="Arial" w:hAnsi="Arial"/>
                <w:b/>
                <w:sz w:val="17"/>
              </w:rPr>
              <w:t>Completeness of Document:</w:t>
            </w:r>
          </w:p>
        </w:tc>
        <w:tc>
          <w:tcPr>
            <w:tcW w:type="dxa" w:w="5112"/>
            <w:tcMar>
              <w:top w:w="80" w:type="dxa"/>
              <w:bottom w:w="80" w:type="dxa"/>
              <w:left w:w="100" w:type="dxa"/>
              <w:right w:w="100" w:type="dxa"/>
            </w:tcMar>
          </w:tcPr>
          <w:p>
            <w:pPr>
              <w:spacing w:before="0" w:after="0" w:line="264" w:lineRule="auto"/>
              <w:jc w:val="left"/>
            </w:pPr>
            <w:r>
              <w:rPr>
                <w:rFonts w:ascii="Arial" w:hAnsi="Arial"/>
                <w:b w:val="0"/>
                <w:sz w:val="17"/>
              </w:rPr>
              <w:t>☐ Complete               ☐ Incomplete</w:t>
            </w:r>
          </w:p>
        </w:tc>
      </w:tr>
      <w:tr>
        <w:trPr>
          <w:cantSplit/>
        </w:trPr>
        <w:tc>
          <w:tcPr>
            <w:tcW w:type="dxa" w:w="5112"/>
            <w:tcMar>
              <w:top w:w="80" w:type="dxa"/>
              <w:bottom w:w="80" w:type="dxa"/>
              <w:left w:w="100" w:type="dxa"/>
              <w:right w:w="100" w:type="dxa"/>
            </w:tcMar>
            <w:shd w:fill="F9F9F9"/>
          </w:tcPr>
          <w:p>
            <w:pPr>
              <w:spacing w:before="0" w:after="0" w:line="264" w:lineRule="auto"/>
              <w:jc w:val="left"/>
            </w:pPr>
            <w:r>
              <w:rPr>
                <w:rFonts w:ascii="Arial" w:hAnsi="Arial"/>
                <w:b/>
                <w:sz w:val="17"/>
              </w:rPr>
              <w:t>Remarks / Action:</w:t>
            </w:r>
          </w:p>
        </w:tc>
        <w:tc>
          <w:tcPr>
            <w:tcW w:type="dxa" w:w="5112"/>
            <w:tcMar>
              <w:top w:w="80" w:type="dxa"/>
              <w:bottom w:w="80" w:type="dxa"/>
              <w:left w:w="100" w:type="dxa"/>
              <w:right w:w="100" w:type="dxa"/>
            </w:tcMar>
          </w:tcPr>
          <w:p>
            <w:pPr>
              <w:spacing w:before="0" w:after="0" w:line="264" w:lineRule="auto"/>
              <w:jc w:val="left"/>
            </w:pPr>
            <w:r>
              <w:rPr>
                <w:rFonts w:ascii="Arial" w:hAnsi="Arial"/>
                <w:b w:val="0"/>
                <w:sz w:val="17"/>
              </w:rPr>
              <w:br/>
            </w:r>
          </w:p>
        </w:tc>
      </w:tr>
      <w:tr>
        <w:trPr>
          <w:cantSplit/>
        </w:trPr>
        <w:tc>
          <w:tcPr>
            <w:tcW w:type="dxa" w:w="5112"/>
            <w:tcMar>
              <w:top w:w="80" w:type="dxa"/>
              <w:bottom w:w="80" w:type="dxa"/>
              <w:left w:w="100" w:type="dxa"/>
              <w:right w:w="100" w:type="dxa"/>
            </w:tcMar>
            <w:shd w:fill="F9F9F9"/>
          </w:tcPr>
          <w:p>
            <w:pPr>
              <w:spacing w:before="0" w:after="0" w:line="264" w:lineRule="auto"/>
              <w:jc w:val="left"/>
            </w:pPr>
            <w:r>
              <w:rPr>
                <w:rFonts w:ascii="Arial" w:hAnsi="Arial"/>
                <w:b/>
                <w:sz w:val="17"/>
              </w:rPr>
              <w:t>Date Received &amp; Received By:</w:t>
            </w:r>
          </w:p>
        </w:tc>
        <w:tc>
          <w:tcPr>
            <w:tcW w:type="dxa" w:w="5112"/>
            <w:tcMar>
              <w:top w:w="80" w:type="dxa"/>
              <w:bottom w:w="80" w:type="dxa"/>
              <w:left w:w="100" w:type="dxa"/>
              <w:right w:w="100" w:type="dxa"/>
            </w:tcMar>
          </w:tcPr>
          <w:p>
            <w:pPr>
              <w:spacing w:before="0" w:after="0" w:line="264" w:lineRule="auto"/>
              <w:jc w:val="left"/>
            </w:pPr>
            <w:r>
              <w:rPr>
                <w:rFonts w:ascii="Arial" w:hAnsi="Arial"/>
                <w:b w:val="0"/>
                <w:sz w:val="17"/>
              </w:rPr>
              <w:t>Date: ________________________     Received by (Signature): ________________________</w:t>
            </w:r>
          </w:p>
        </w:tc>
      </w:tr>
    </w:tbl>
    <w:p>
      <w:r>
        <w:br w:type="page"/>
      </w:r>
    </w:p>
    <w:p>
      <w:pPr>
        <w:spacing w:before="80" w:after="40"/>
      </w:pPr>
      <w:r>
        <w:rPr>
          <w:rFonts w:ascii="Arial" w:hAnsi="Arial"/>
          <w:b/>
          <w:color w:val="002060"/>
          <w:sz w:val="22"/>
        </w:rPr>
        <w:t>II. Summary of Comments, Suggestions, and Actions Taken</w:t>
      </w:r>
    </w:p>
    <w:p>
      <w:pPr>
        <w:spacing w:before="0" w:after="120"/>
      </w:pPr>
      <w:r>
        <w:rPr>
          <w:rFonts w:ascii="Arial" w:hAnsi="Arial"/>
          <w:i/>
          <w:sz w:val="17"/>
        </w:rPr>
        <w:t>Comments and Suggestions on Initial Proposal Defense Evaluation (AY 2025–2026 Special Term)</w:t>
        <w:br/>
        <w:t>Lead Panel: Inst. Gabriel Emanuel D. Montano | Member Panels: Prof. Noel E. Estrella, Mr. Karlo Angelo Tino</w:t>
        <w:br/>
        <w:t>Citations Strictly Cross-Referenced with Official Manuscript: Full Proposal.pdf (102 Pages)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648"/>
        <w:gridCol w:w="4680"/>
        <w:gridCol w:w="4896"/>
      </w:tblGrid>
      <w:tr>
        <w:trPr>
          <w:cantSplit/>
        </w:trPr>
        <w:tc>
          <w:tcPr>
            <w:tcW w:type="dxa" w:w="3408"/>
            <w:tcMar>
              <w:top w:w="80" w:type="dxa"/>
              <w:bottom w:w="80" w:type="dxa"/>
              <w:left w:w="100" w:type="dxa"/>
              <w:right w:w="100" w:type="dxa"/>
            </w:tcMar>
            <w:shd w:fill="D9E1F2"/>
          </w:tcPr>
          <w:p>
            <w:pPr>
              <w:spacing w:before="0" w:after="0" w:line="264" w:lineRule="auto"/>
              <w:jc w:val="center"/>
            </w:pPr>
            <w:r>
              <w:rPr>
                <w:rFonts w:ascii="Arial" w:hAnsi="Arial"/>
                <w:b/>
                <w:sz w:val="17"/>
              </w:rPr>
              <w:t>#</w:t>
            </w:r>
          </w:p>
        </w:tc>
        <w:tc>
          <w:tcPr>
            <w:tcW w:type="dxa" w:w="3408"/>
            <w:tcMar>
              <w:top w:w="80" w:type="dxa"/>
              <w:bottom w:w="80" w:type="dxa"/>
              <w:left w:w="100" w:type="dxa"/>
              <w:right w:w="100" w:type="dxa"/>
            </w:tcMar>
            <w:shd w:fill="D9E1F2"/>
          </w:tcPr>
          <w:p>
            <w:pPr>
              <w:spacing w:before="0" w:after="0" w:line="264" w:lineRule="auto"/>
              <w:jc w:val="left"/>
            </w:pPr>
            <w:r>
              <w:rPr>
                <w:rFonts w:ascii="Arial" w:hAnsi="Arial"/>
                <w:b/>
                <w:sz w:val="17"/>
              </w:rPr>
              <w:t>Comments and Suggestions from Technical Defense</w:t>
            </w:r>
          </w:p>
        </w:tc>
        <w:tc>
          <w:tcPr>
            <w:tcW w:type="dxa" w:w="3408"/>
            <w:tcMar>
              <w:top w:w="80" w:type="dxa"/>
              <w:bottom w:w="80" w:type="dxa"/>
              <w:left w:w="100" w:type="dxa"/>
              <w:right w:w="100" w:type="dxa"/>
            </w:tcMar>
            <w:shd w:fill="D9E1F2"/>
          </w:tcPr>
          <w:p>
            <w:pPr>
              <w:spacing w:before="0" w:after="0" w:line="264" w:lineRule="auto"/>
              <w:jc w:val="left"/>
            </w:pPr>
            <w:r>
              <w:rPr>
                <w:rFonts w:ascii="Arial" w:hAnsi="Arial"/>
                <w:b/>
                <w:sz w:val="17"/>
              </w:rPr>
              <w:t>Clarification / Actions Taken (Page and Line in Full Proposal.pdf)</w:t>
            </w:r>
          </w:p>
        </w:tc>
      </w:tr>
      <w:tr>
        <w:trPr>
          <w:cantSplit/>
        </w:trPr>
        <w:tc>
          <w:tcPr>
            <w:tcW w:type="dxa" w:w="3408"/>
            <w:tcMar>
              <w:top w:w="80" w:type="dxa"/>
              <w:bottom w:w="80" w:type="dxa"/>
              <w:left w:w="100" w:type="dxa"/>
              <w:right w:w="100" w:type="dxa"/>
            </w:tcMar>
          </w:tcPr>
          <w:p>
            <w:pPr>
              <w:spacing w:before="0" w:after="0" w:line="264" w:lineRule="auto"/>
              <w:jc w:val="center"/>
            </w:pPr>
            <w:r>
              <w:rPr>
                <w:rFonts w:ascii="Arial" w:hAnsi="Arial"/>
                <w:b w:val="0"/>
                <w:sz w:val="16"/>
              </w:rPr>
              <w:t>1</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Provide a comparative analysis of ESP32, Arduino Leonardo, and Raspberry Pi.</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Added comparative benchmarking of CPU architecture, clock speed, SRAM, deep sleep current (10–150 µA), native wireless capabilities, and costs across platforms. (Chapter 2, Page 21, Lines 14–28 to Page 22, Lines 1–12)</w:t>
            </w:r>
          </w:p>
        </w:tc>
      </w:tr>
      <w:tr>
        <w:trPr>
          <w:cantSplit/>
        </w:trPr>
        <w:tc>
          <w:tcPr>
            <w:tcW w:type="dxa" w:w="3408"/>
            <w:tcMar>
              <w:top w:w="80" w:type="dxa"/>
              <w:bottom w:w="80" w:type="dxa"/>
              <w:left w:w="100" w:type="dxa"/>
              <w:right w:w="100" w:type="dxa"/>
            </w:tcMar>
          </w:tcPr>
          <w:p>
            <w:pPr>
              <w:spacing w:before="0" w:after="0" w:line="264" w:lineRule="auto"/>
              <w:jc w:val="center"/>
            </w:pPr>
            <w:r>
              <w:rPr>
                <w:rFonts w:ascii="Arial" w:hAnsi="Arial"/>
                <w:b w:val="0"/>
                <w:sz w:val="16"/>
              </w:rPr>
              <w:t>2</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Justify selection of ESP32 based on SolanaWatch requirements.</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Explicitly justified ESP32 dual-core 240MHz Xtensa LX6 architecture for concurrent sensor polling, FreeRTOS multi-threading, RS485 Modbus CRC, and deep-sleep cycling. (Chapter 2, Page 21, Lines 5–13; Page 32, Lines 1–18; Chapter 3, Table 3, Page 41)</w:t>
            </w:r>
          </w:p>
        </w:tc>
      </w:tr>
      <w:tr>
        <w:trPr>
          <w:cantSplit/>
        </w:trPr>
        <w:tc>
          <w:tcPr>
            <w:tcW w:type="dxa" w:w="3408"/>
            <w:tcMar>
              <w:top w:w="80" w:type="dxa"/>
              <w:bottom w:w="80" w:type="dxa"/>
              <w:left w:w="100" w:type="dxa"/>
              <w:right w:w="100" w:type="dxa"/>
            </w:tcMar>
          </w:tcPr>
          <w:p>
            <w:pPr>
              <w:spacing w:before="0" w:after="0" w:line="264" w:lineRule="auto"/>
              <w:jc w:val="center"/>
            </w:pPr>
            <w:r>
              <w:rPr>
                <w:rFonts w:ascii="Arial" w:hAnsi="Arial"/>
                <w:b w:val="0"/>
                <w:sz w:val="16"/>
              </w:rPr>
              <w:t>3</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Specify exact models and specifications of all sensors and components.</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Specified exact part numbers: DHT22/AM2302 (Stevenson shield), DS18B20 (304 SS probe), Capacitive Moisture v1.2 (SEN0193), Industrial IP68 RS485 Leaf Sensor, MAX485, and MPPT controller. (Chapter 3, Table 3: Hardware Bill of Materials, Pages 41–50)</w:t>
            </w:r>
          </w:p>
        </w:tc>
      </w:tr>
      <w:tr>
        <w:trPr>
          <w:cantSplit/>
        </w:trPr>
        <w:tc>
          <w:tcPr>
            <w:tcW w:type="dxa" w:w="3408"/>
            <w:tcMar>
              <w:top w:w="80" w:type="dxa"/>
              <w:bottom w:w="80" w:type="dxa"/>
              <w:left w:w="100" w:type="dxa"/>
              <w:right w:w="100" w:type="dxa"/>
            </w:tcMar>
          </w:tcPr>
          <w:p>
            <w:pPr>
              <w:spacing w:before="0" w:after="0" w:line="264" w:lineRule="auto"/>
              <w:jc w:val="center"/>
            </w:pPr>
            <w:r>
              <w:rPr>
                <w:rFonts w:ascii="Arial" w:hAnsi="Arial"/>
                <w:b w:val="0"/>
                <w:sz w:val="16"/>
              </w:rPr>
              <w:t>4</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Reassess the 3.7V 2600 mAh Li-ion battery for continuous 24/7 operation.</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Conducted power audit demonstrating 3.7V 2600 mAh cell (9.62 Wh) depletes in &lt; 16h; upgraded to a 12.8V 12Ah (153.6 Wh) LiFePO4 battery pack with 15A BMS. (Chapter 2, Page 25, Lines 12–25 to Page 26, Lines 1–15; Chapter 3, Table 3, Pages 44–45; Page 67, Lines 10–25)</w:t>
            </w:r>
          </w:p>
        </w:tc>
      </w:tr>
      <w:tr>
        <w:trPr>
          <w:cantSplit/>
        </w:trPr>
        <w:tc>
          <w:tcPr>
            <w:tcW w:type="dxa" w:w="3408"/>
            <w:tcMar>
              <w:top w:w="80" w:type="dxa"/>
              <w:bottom w:w="80" w:type="dxa"/>
              <w:left w:w="100" w:type="dxa"/>
              <w:right w:w="100" w:type="dxa"/>
            </w:tcMar>
          </w:tcPr>
          <w:p>
            <w:pPr>
              <w:spacing w:before="0" w:after="0" w:line="264" w:lineRule="auto"/>
              <w:jc w:val="center"/>
            </w:pPr>
            <w:r>
              <w:rPr>
                <w:rFonts w:ascii="Arial" w:hAnsi="Arial"/>
                <w:b w:val="0"/>
                <w:sz w:val="16"/>
              </w:rPr>
              <w:t>5</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Investigate a solar-assisted power system for continuous field operation.</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Integrated a 20W 12V monocrystalline solar PV panel paired with an IP67 waterproof MPPT charge controller (&gt;=98% efficiency) harvesting 67.5 Wh/day under 4.5 PSH. (Chapter 2, Page 26, Lines 1–15; Chapter 3, Page 44, 57–58)</w:t>
            </w:r>
          </w:p>
        </w:tc>
      </w:tr>
      <w:tr>
        <w:trPr>
          <w:cantSplit/>
        </w:trPr>
        <w:tc>
          <w:tcPr>
            <w:tcW w:type="dxa" w:w="3408"/>
            <w:tcMar>
              <w:top w:w="80" w:type="dxa"/>
              <w:bottom w:w="80" w:type="dxa"/>
              <w:left w:w="100" w:type="dxa"/>
              <w:right w:w="100" w:type="dxa"/>
            </w:tcMar>
          </w:tcPr>
          <w:p>
            <w:pPr>
              <w:spacing w:before="0" w:after="0" w:line="264" w:lineRule="auto"/>
              <w:jc w:val="center"/>
            </w:pPr>
            <w:r>
              <w:rPr>
                <w:rFonts w:ascii="Arial" w:hAnsi="Arial"/>
                <w:b w:val="0"/>
                <w:sz w:val="16"/>
              </w:rPr>
              <w:t>6</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Conduct actual power-consumption testing of the complete prototype.</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Formulated laboratory power measurement test bench profiling current draw across Active TX (180–240 mA), Active Sensing (30–60 mA), and Deep Sleep (15–50 µA). (Chapter 3, Page 67, Lines 10–25; Section 3.4 Test Plan, Pages 78–80)</w:t>
            </w:r>
          </w:p>
        </w:tc>
      </w:tr>
      <w:tr>
        <w:trPr>
          <w:cantSplit/>
        </w:trPr>
        <w:tc>
          <w:tcPr>
            <w:tcW w:type="dxa" w:w="3408"/>
            <w:tcMar>
              <w:top w:w="80" w:type="dxa"/>
              <w:bottom w:w="80" w:type="dxa"/>
              <w:left w:w="100" w:type="dxa"/>
              <w:right w:w="100" w:type="dxa"/>
            </w:tcMar>
          </w:tcPr>
          <w:p>
            <w:pPr>
              <w:spacing w:before="0" w:after="0" w:line="264" w:lineRule="auto"/>
              <w:jc w:val="center"/>
            </w:pPr>
            <w:r>
              <w:rPr>
                <w:rFonts w:ascii="Arial" w:hAnsi="Arial"/>
                <w:b w:val="0"/>
                <w:sz w:val="16"/>
              </w:rPr>
              <w:t>7</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Determine solar panel and battery capacity based on measured power requirements.</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Derived formal mathematical sizing equations proving continuous zero-sunlight battery autonomy based on 2.30 Wh/day energy budget and 153.6 Wh LiFePO4 storage. (Chapter 2, Page 26, Lines 1–20; Chapter 3, Page 67, Lines 10–25)</w:t>
            </w:r>
          </w:p>
        </w:tc>
      </w:tr>
      <w:tr>
        <w:trPr>
          <w:cantSplit/>
        </w:trPr>
        <w:tc>
          <w:tcPr>
            <w:tcW w:type="dxa" w:w="3408"/>
            <w:tcMar>
              <w:top w:w="80" w:type="dxa"/>
              <w:bottom w:w="80" w:type="dxa"/>
              <w:left w:w="100" w:type="dxa"/>
              <w:right w:w="100" w:type="dxa"/>
            </w:tcMar>
          </w:tcPr>
          <w:p>
            <w:pPr>
              <w:spacing w:before="0" w:after="0" w:line="264" w:lineRule="auto"/>
              <w:jc w:val="center"/>
            </w:pPr>
            <w:r>
              <w:rPr>
                <w:rFonts w:ascii="Arial" w:hAnsi="Arial"/>
                <w:b w:val="0"/>
                <w:sz w:val="16"/>
              </w:rPr>
              <w:t>8</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Clarify sensor coverage vs. wireless communication range.</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Differentiated Microclimatic Coverage Footprint (5–15m radius of canopy microclimate homogeneity) from RF Wireless Range (30–50m Wi-Fi line-of-sight). (Chapter 2, Page 27, Lines 18–26 to Page 28, Lines 1–8)</w:t>
            </w:r>
          </w:p>
        </w:tc>
      </w:tr>
      <w:tr>
        <w:trPr>
          <w:cantSplit/>
        </w:trPr>
        <w:tc>
          <w:tcPr>
            <w:tcW w:type="dxa" w:w="3408"/>
            <w:tcMar>
              <w:top w:w="80" w:type="dxa"/>
              <w:bottom w:w="80" w:type="dxa"/>
              <w:left w:w="100" w:type="dxa"/>
              <w:right w:w="100" w:type="dxa"/>
            </w:tcMar>
          </w:tcPr>
          <w:p>
            <w:pPr>
              <w:spacing w:before="0" w:after="0" w:line="264" w:lineRule="auto"/>
              <w:jc w:val="center"/>
            </w:pPr>
            <w:r>
              <w:rPr>
                <w:rFonts w:ascii="Arial" w:hAnsi="Arial"/>
                <w:b w:val="0"/>
                <w:sz w:val="16"/>
              </w:rPr>
              <w:t>9</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Conduct experimental test to determine communication range of ESP32.</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Formulated experimental RSSI (dBm) and Packet Delivery Ratio (PDR %) testing protocol at 5m, 10m, 20m, 30m, and 50m intervals under LOS and canopy NLOS conditions. (Chapter 2, Page 28, Lines 1–15; Chapter 3, Section 3.4, Page 79)</w:t>
            </w:r>
          </w:p>
        </w:tc>
      </w:tr>
      <w:tr>
        <w:trPr>
          <w:cantSplit/>
        </w:trPr>
        <w:tc>
          <w:tcPr>
            <w:tcW w:type="dxa" w:w="3408"/>
            <w:tcMar>
              <w:top w:w="80" w:type="dxa"/>
              <w:bottom w:w="80" w:type="dxa"/>
              <w:left w:w="100" w:type="dxa"/>
              <w:right w:w="100" w:type="dxa"/>
            </w:tcMar>
          </w:tcPr>
          <w:p>
            <w:pPr>
              <w:spacing w:before="0" w:after="0" w:line="264" w:lineRule="auto"/>
              <w:jc w:val="center"/>
            </w:pPr>
            <w:r>
              <w:rPr>
                <w:rFonts w:ascii="Arial" w:hAnsi="Arial"/>
                <w:b w:val="0"/>
                <w:sz w:val="16"/>
              </w:rPr>
              <w:t>10</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Provide RRL support for selected environmental parameters.</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Cited peer-reviewed plant pathology literature linking ambient temp, RH, leaf wetness duration, soil temp, and soil moisture to P. infestans and R. pseudosolanacearum. (Chapter 1, Page 5–6, Lines 20–25; Chapter 2, Section 2.1, Pages 17–20, Lines 1–25)</w:t>
            </w:r>
          </w:p>
        </w:tc>
      </w:tr>
      <w:tr>
        <w:trPr>
          <w:cantSplit/>
        </w:trPr>
        <w:tc>
          <w:tcPr>
            <w:tcW w:type="dxa" w:w="3408"/>
            <w:tcMar>
              <w:top w:w="80" w:type="dxa"/>
              <w:bottom w:w="80" w:type="dxa"/>
              <w:left w:w="100" w:type="dxa"/>
              <w:right w:w="100" w:type="dxa"/>
            </w:tcMar>
          </w:tcPr>
          <w:p>
            <w:pPr>
              <w:spacing w:before="0" w:after="0" w:line="264" w:lineRule="auto"/>
              <w:jc w:val="center"/>
            </w:pPr>
            <w:r>
              <w:rPr>
                <w:rFonts w:ascii="Arial" w:hAnsi="Arial"/>
                <w:b w:val="0"/>
                <w:sz w:val="16"/>
              </w:rPr>
              <w:t>11</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Provide research basis for disease-risk thresholds and formulas.</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Grounded Late Blight risk logic in Wallin Severity Values (SV) / BLITECAST rules and Bacterial Wilt in a Hydrothermal Soil Risk Index (R_BW). (Chapter 2, Page 19, Lines 5–20; Chapter 3, Table 5, Pages 61–63)</w:t>
            </w:r>
          </w:p>
        </w:tc>
      </w:tr>
      <w:tr>
        <w:trPr>
          <w:cantSplit/>
        </w:trPr>
        <w:tc>
          <w:tcPr>
            <w:tcW w:type="dxa" w:w="3408"/>
            <w:tcMar>
              <w:top w:w="80" w:type="dxa"/>
              <w:bottom w:w="80" w:type="dxa"/>
              <w:left w:w="100" w:type="dxa"/>
              <w:right w:w="100" w:type="dxa"/>
            </w:tcMar>
          </w:tcPr>
          <w:p>
            <w:pPr>
              <w:spacing w:before="0" w:after="0" w:line="264" w:lineRule="auto"/>
              <w:jc w:val="center"/>
            </w:pPr>
            <w:r>
              <w:rPr>
                <w:rFonts w:ascii="Arial" w:hAnsi="Arial"/>
                <w:b w:val="0"/>
                <w:sz w:val="16"/>
              </w:rPr>
              <w:t>12</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Clarify how multiple environmental parameters are combined.</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Formulated explicit multi-parameter decision-tree logic combining concurrent and cumulative time windows (LWD &gt;= 10h at 12°C–22°C with RH &gt;= 90%). (Chapter 2, Page 30, Lines 1–20; Chapter 3, Table 5, Pages 61–63; Figure 5, Page 66–67)</w:t>
            </w:r>
          </w:p>
        </w:tc>
      </w:tr>
      <w:tr>
        <w:trPr>
          <w:cantSplit/>
        </w:trPr>
        <w:tc>
          <w:tcPr>
            <w:tcW w:type="dxa" w:w="3408"/>
            <w:tcMar>
              <w:top w:w="80" w:type="dxa"/>
              <w:bottom w:w="80" w:type="dxa"/>
              <w:left w:w="100" w:type="dxa"/>
              <w:right w:w="100" w:type="dxa"/>
            </w:tcMar>
          </w:tcPr>
          <w:p>
            <w:pPr>
              <w:spacing w:before="0" w:after="0" w:line="264" w:lineRule="auto"/>
              <w:jc w:val="center"/>
            </w:pPr>
            <w:r>
              <w:rPr>
                <w:rFonts w:ascii="Arial" w:hAnsi="Arial"/>
                <w:b w:val="0"/>
                <w:sz w:val="16"/>
              </w:rPr>
              <w:t>13</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Clarify that SolanaWatch performs disease-risk assessment rather than diagnosis.</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Explicitly refined manuscript terminology: SolanaWatch evaluates physical microclimatic infection conduciveness (pre-symptomatic risk) rather than biological diagnosis. (Chapter 1, Page 10, Lines 1–15; Scope and Delimitations, Page 13, Lines 8–25; Page 16, Lines 6–10)</w:t>
            </w:r>
          </w:p>
        </w:tc>
      </w:tr>
      <w:tr>
        <w:trPr>
          <w:cantSplit/>
        </w:trPr>
        <w:tc>
          <w:tcPr>
            <w:tcW w:type="dxa" w:w="3408"/>
            <w:tcMar>
              <w:top w:w="80" w:type="dxa"/>
              <w:bottom w:w="80" w:type="dxa"/>
              <w:left w:w="100" w:type="dxa"/>
              <w:right w:w="100" w:type="dxa"/>
            </w:tcMar>
          </w:tcPr>
          <w:p>
            <w:pPr>
              <w:spacing w:before="0" w:after="0" w:line="264" w:lineRule="auto"/>
              <w:jc w:val="center"/>
            </w:pPr>
            <w:r>
              <w:rPr>
                <w:rFonts w:ascii="Arial" w:hAnsi="Arial"/>
                <w:b w:val="0"/>
                <w:sz w:val="16"/>
              </w:rPr>
              <w:t>14</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Identify intended users of SolanaWatch.</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Defined primary user group as smallholder Solanaceae farmers; secondary users as LGU/DA agricultural technicians, extension officers, and academic researchers. (Chapter 1, Page 6, Lines 16–22; Page 11, Lines 1–20; Chapter 3, Page 85, Lines 1–15)</w:t>
            </w:r>
          </w:p>
        </w:tc>
      </w:tr>
      <w:tr>
        <w:trPr>
          <w:cantSplit/>
        </w:trPr>
        <w:tc>
          <w:tcPr>
            <w:tcW w:type="dxa" w:w="3408"/>
            <w:tcMar>
              <w:top w:w="80" w:type="dxa"/>
              <w:bottom w:w="80" w:type="dxa"/>
              <w:left w:w="100" w:type="dxa"/>
              <w:right w:w="100" w:type="dxa"/>
            </w:tcMar>
          </w:tcPr>
          <w:p>
            <w:pPr>
              <w:spacing w:before="0" w:after="0" w:line="264" w:lineRule="auto"/>
              <w:jc w:val="center"/>
            </w:pPr>
            <w:r>
              <w:rPr>
                <w:rFonts w:ascii="Arial" w:hAnsi="Arial"/>
                <w:b w:val="0"/>
                <w:sz w:val="16"/>
              </w:rPr>
              <w:t>15</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Clearly label all components and functions in circuit and system diagrams.</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Annotated circuit schematic and architectural diagrams with exact ESP32 GPIO pin assignments, step-down buck regulators, and 4.7kΩ pull-up resistors. (Chapter 3, Figure 2, p. 53; Figure 3, p. 56; Figure 4, p. 64; Figure 5, p. 66; Section 3.4, p. 74)</w:t>
            </w:r>
          </w:p>
        </w:tc>
      </w:tr>
      <w:tr>
        <w:trPr>
          <w:cantSplit/>
        </w:trPr>
        <w:tc>
          <w:tcPr>
            <w:tcW w:type="dxa" w:w="3408"/>
            <w:tcMar>
              <w:top w:w="80" w:type="dxa"/>
              <w:bottom w:w="80" w:type="dxa"/>
              <w:left w:w="100" w:type="dxa"/>
              <w:right w:w="100" w:type="dxa"/>
            </w:tcMar>
          </w:tcPr>
          <w:p>
            <w:pPr>
              <w:spacing w:before="0" w:after="0" w:line="264" w:lineRule="auto"/>
              <w:jc w:val="center"/>
            </w:pPr>
            <w:r>
              <w:rPr>
                <w:rFonts w:ascii="Arial" w:hAnsi="Arial"/>
                <w:b w:val="0"/>
                <w:sz w:val="16"/>
              </w:rPr>
              <w:t>16</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Evaluate using a PCB instead of a breadboard for final prototype.</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Evaluated electrical contact resistance (&lt;0.01Ω), mechanical vibration immunity, and humidity resistance, adopting a custom FR-4 fabricated PCB proto-shield. (Chapter 2, Page 28, Lines 10–25; Chapter 3, Table 3, Page 49)</w:t>
            </w:r>
          </w:p>
        </w:tc>
      </w:tr>
      <w:tr>
        <w:trPr>
          <w:cantSplit/>
        </w:trPr>
        <w:tc>
          <w:tcPr>
            <w:tcW w:type="dxa" w:w="3408"/>
            <w:tcMar>
              <w:top w:w="80" w:type="dxa"/>
              <w:bottom w:w="80" w:type="dxa"/>
              <w:left w:w="100" w:type="dxa"/>
              <w:right w:w="100" w:type="dxa"/>
            </w:tcMar>
          </w:tcPr>
          <w:p>
            <w:pPr>
              <w:spacing w:before="0" w:after="0" w:line="264" w:lineRule="auto"/>
              <w:jc w:val="center"/>
            </w:pPr>
            <w:r>
              <w:rPr>
                <w:rFonts w:ascii="Arial" w:hAnsi="Arial"/>
                <w:b w:val="0"/>
                <w:sz w:val="16"/>
              </w:rPr>
              <w:t>17</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Add test cases for sensor accuracy, transmission, offline logging, and sync.</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Formulated structured ISO/IEC 25010 test matrices detailing Test IDs, preconditions, test procedures, expected outputs, and acceptance criteria. (Chapter 3, Section 3.4 Test Plan, Pages 76–81)</w:t>
            </w:r>
          </w:p>
        </w:tc>
      </w:tr>
      <w:tr>
        <w:trPr>
          <w:cantSplit/>
        </w:trPr>
        <w:tc>
          <w:tcPr>
            <w:tcW w:type="dxa" w:w="3408"/>
            <w:tcMar>
              <w:top w:w="80" w:type="dxa"/>
              <w:bottom w:w="80" w:type="dxa"/>
              <w:left w:w="100" w:type="dxa"/>
              <w:right w:w="100" w:type="dxa"/>
            </w:tcMar>
          </w:tcPr>
          <w:p>
            <w:pPr>
              <w:spacing w:before="0" w:after="0" w:line="264" w:lineRule="auto"/>
              <w:jc w:val="center"/>
            </w:pPr>
            <w:r>
              <w:rPr>
                <w:rFonts w:ascii="Arial" w:hAnsi="Arial"/>
                <w:b w:val="0"/>
                <w:sz w:val="16"/>
              </w:rPr>
              <w:t>18</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Explain how data loss and duplication will be prevented during network outages.</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Documented onboard SPI MicroSD FIFO buffer (telemetry_buffer.jsonl), HTTP batch sync, and Turso cloud database UNIQUE(node_id, recorded_at) deduplication. (Chapter 1, Page 9, Lines 1–15; Chapter 2, Page 27, Lines 1–15; Chapter 3, Figure 5, Pages 66–67)</w:t>
            </w:r>
          </w:p>
        </w:tc>
      </w:tr>
      <w:tr>
        <w:trPr>
          <w:cantSplit/>
        </w:trPr>
        <w:tc>
          <w:tcPr>
            <w:tcW w:type="dxa" w:w="3408"/>
            <w:tcMar>
              <w:top w:w="80" w:type="dxa"/>
              <w:bottom w:w="80" w:type="dxa"/>
              <w:left w:w="100" w:type="dxa"/>
              <w:right w:w="100" w:type="dxa"/>
            </w:tcMar>
          </w:tcPr>
          <w:p>
            <w:pPr>
              <w:spacing w:before="0" w:after="0" w:line="264" w:lineRule="auto"/>
              <w:jc w:val="center"/>
            </w:pPr>
            <w:r>
              <w:rPr>
                <w:rFonts w:ascii="Arial" w:hAnsi="Arial"/>
                <w:b w:val="0"/>
                <w:sz w:val="16"/>
              </w:rPr>
              <w:t>19</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Establish calibration procedure for all environmental sensors.</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Established 2-point calibration for capacitive soil moisture (air vs. water), ice-point bath (0.0°C) for DS18B20, and saturated salt chamber (75.3% RH) for DHT22. (Chapter 2, Page 25, Lines 1–15; Chapter 3, Section 3.4 Test Plan, Pages 78–80)</w:t>
            </w:r>
          </w:p>
        </w:tc>
      </w:tr>
      <w:tr>
        <w:trPr>
          <w:cantSplit/>
        </w:trPr>
        <w:tc>
          <w:tcPr>
            <w:tcW w:type="dxa" w:w="3408"/>
            <w:tcMar>
              <w:top w:w="80" w:type="dxa"/>
              <w:bottom w:w="80" w:type="dxa"/>
              <w:left w:w="100" w:type="dxa"/>
              <w:right w:w="100" w:type="dxa"/>
            </w:tcMar>
          </w:tcPr>
          <w:p>
            <w:pPr>
              <w:spacing w:before="0" w:after="0" w:line="264" w:lineRule="auto"/>
              <w:jc w:val="center"/>
            </w:pPr>
            <w:r>
              <w:rPr>
                <w:rFonts w:ascii="Arial" w:hAnsi="Arial"/>
                <w:b w:val="0"/>
                <w:sz w:val="16"/>
              </w:rPr>
              <w:t>20</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Specify Solanaceae crops and field conditions covered by the study.</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Delimited target crops to Tomato (S. lycopersicum), Eggplant (S. melongena), Bell Pepper (C. annuum), and Potato (S. tuberosum) in open-field/screenhouse plots. (Chapter 1, Page 5, Lines 6–18; Scope and Delimitations, Pages 13–15, Lines 1–25)</w:t>
            </w:r>
          </w:p>
        </w:tc>
      </w:tr>
      <w:tr>
        <w:trPr>
          <w:cantSplit/>
        </w:trPr>
        <w:tc>
          <w:tcPr>
            <w:tcW w:type="dxa" w:w="3408"/>
            <w:tcMar>
              <w:top w:w="80" w:type="dxa"/>
              <w:bottom w:w="80" w:type="dxa"/>
              <w:left w:w="100" w:type="dxa"/>
              <w:right w:w="100" w:type="dxa"/>
            </w:tcMar>
          </w:tcPr>
          <w:p>
            <w:pPr>
              <w:spacing w:before="0" w:after="0" w:line="264" w:lineRule="auto"/>
              <w:jc w:val="center"/>
            </w:pPr>
            <w:r>
              <w:rPr>
                <w:rFonts w:ascii="Arial" w:hAnsi="Arial"/>
                <w:b w:val="0"/>
                <w:sz w:val="16"/>
              </w:rPr>
              <w:t>21</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Evaluate enclosure and components for outdoor agricultural conditions.</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Selected IP65/IP66 polycarbonate junction box with silicone gasket, bottom PG7/PG9 glands with drip loops, internal silica desiccant, and Stevenson shield. (Chapter 2, Page 29, Lines 1–25; Chapter 3, Table 3, Pages 41–42; Page 74)</w:t>
            </w:r>
          </w:p>
        </w:tc>
      </w:tr>
      <w:tr>
        <w:trPr>
          <w:cantSplit/>
        </w:trPr>
        <w:tc>
          <w:tcPr>
            <w:tcW w:type="dxa" w:w="3408"/>
            <w:tcMar>
              <w:top w:w="80" w:type="dxa"/>
              <w:bottom w:w="80" w:type="dxa"/>
              <w:left w:w="100" w:type="dxa"/>
              <w:right w:w="100" w:type="dxa"/>
            </w:tcMar>
          </w:tcPr>
          <w:p>
            <w:pPr>
              <w:spacing w:before="0" w:after="0" w:line="264" w:lineRule="auto"/>
              <w:jc w:val="center"/>
            </w:pPr>
            <w:r>
              <w:rPr>
                <w:rFonts w:ascii="Arial" w:hAnsi="Arial"/>
                <w:b w:val="0"/>
                <w:sz w:val="16"/>
              </w:rPr>
              <w:t>22</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Add reliability testing plan for continuous operation.</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Formulated 7-day continuous field deployment test (672 cycles), hardware Watchdog Timer (WDT) auto-recovery (&lt;=5.0s), and brownout reset protection. (Chapter 3, Section 3.1, Page 39 [NFR-1]; Section 3.4 Test Plan, Pages 76–81)</w:t>
            </w:r>
          </w:p>
        </w:tc>
      </w:tr>
      <w:tr>
        <w:trPr>
          <w:cantSplit/>
        </w:trPr>
        <w:tc>
          <w:tcPr>
            <w:tcW w:type="dxa" w:w="3408"/>
            <w:tcMar>
              <w:top w:w="80" w:type="dxa"/>
              <w:bottom w:w="80" w:type="dxa"/>
              <w:left w:w="100" w:type="dxa"/>
              <w:right w:w="100" w:type="dxa"/>
            </w:tcMar>
          </w:tcPr>
          <w:p>
            <w:pPr>
              <w:spacing w:before="0" w:after="0" w:line="264" w:lineRule="auto"/>
              <w:jc w:val="center"/>
            </w:pPr>
            <w:r>
              <w:rPr>
                <w:rFonts w:ascii="Arial" w:hAnsi="Arial"/>
                <w:b w:val="0"/>
                <w:sz w:val="16"/>
              </w:rPr>
              <w:t>23</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Provide validation procedure for solar charging and battery autonomy.</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Formulated 72-hour physical solar disconnection deprivation test and 48-hour MPPT charging cycle under variable solar irradiance. (Chapter 3, Page 67, Lines 10–25; Section 3.4 Test Plan, Pages 78–81)</w:t>
            </w:r>
          </w:p>
        </w:tc>
      </w:tr>
      <w:tr>
        <w:trPr>
          <w:cantSplit/>
        </w:trPr>
        <w:tc>
          <w:tcPr>
            <w:tcW w:type="dxa" w:w="3408"/>
            <w:tcMar>
              <w:top w:w="80" w:type="dxa"/>
              <w:bottom w:w="80" w:type="dxa"/>
              <w:left w:w="100" w:type="dxa"/>
              <w:right w:w="100" w:type="dxa"/>
            </w:tcMar>
          </w:tcPr>
          <w:p>
            <w:pPr>
              <w:spacing w:before="0" w:after="0" w:line="264" w:lineRule="auto"/>
              <w:jc w:val="center"/>
            </w:pPr>
            <w:r>
              <w:rPr>
                <w:rFonts w:ascii="Arial" w:hAnsi="Arial"/>
                <w:b w:val="0"/>
                <w:sz w:val="16"/>
              </w:rPr>
              <w:t>24</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Support all technical claims and component selections with recent RRL.</w:t>
            </w:r>
          </w:p>
        </w:tc>
        <w:tc>
          <w:tcPr>
            <w:tcW w:type="dxa" w:w="3408"/>
            <w:tcMar>
              <w:top w:w="80" w:type="dxa"/>
              <w:bottom w:w="80" w:type="dxa"/>
              <w:left w:w="100" w:type="dxa"/>
              <w:right w:w="100" w:type="dxa"/>
            </w:tcMar>
          </w:tcPr>
          <w:p>
            <w:pPr>
              <w:spacing w:before="0" w:after="0" w:line="264" w:lineRule="auto"/>
              <w:jc w:val="left"/>
            </w:pPr>
            <w:r>
              <w:rPr>
                <w:rFonts w:ascii="Arial" w:hAnsi="Arial"/>
                <w:b w:val="0"/>
                <w:sz w:val="16"/>
              </w:rPr>
              <w:t>Integrated high-impact peer-reviewed literature from 2020–2026 (IEEE, Elsevier, Springer, MDPI) and official manufacturer datasheets in APA 7th edition. (Chapter 4 / Bibliography, Pages 93–101)</w:t>
            </w:r>
          </w:p>
        </w:tc>
      </w:tr>
    </w:tbl>
    <w:p>
      <w:r>
        <w:br w:type="page"/>
      </w:r>
    </w:p>
    <w:p>
      <w:pPr>
        <w:spacing w:before="80" w:after="80"/>
        <w:jc w:val="center"/>
      </w:pPr>
      <w:r>
        <w:rPr>
          <w:b/>
          <w:color w:val="666666"/>
          <w:sz w:val="18"/>
        </w:rPr>
        <w:t>---------------------------- FOR ASSIGNED PRIMARY REVIEWERS ONLY ----------------------------</w:t>
      </w:r>
    </w:p>
    <w:p>
      <w:pPr>
        <w:spacing w:before="120" w:after="80"/>
      </w:pPr>
      <w:r>
        <w:rPr>
          <w:rFonts w:ascii="Arial" w:hAnsi="Arial"/>
          <w:b/>
          <w:color w:val="002060"/>
          <w:sz w:val="22"/>
        </w:rPr>
        <w:t>III. REC RECOMMENDATION</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68"/>
        <w:gridCol w:w="7056"/>
      </w:tblGrid>
      <w:tr>
        <w:trPr>
          <w:cantSplit/>
        </w:trPr>
        <w:tc>
          <w:tcPr>
            <w:tcW w:type="dxa" w:w="5112"/>
            <w:tcMar>
              <w:top w:w="80" w:type="dxa"/>
              <w:bottom w:w="80" w:type="dxa"/>
              <w:left w:w="100" w:type="dxa"/>
              <w:right w:w="100" w:type="dxa"/>
            </w:tcMar>
            <w:shd w:fill="F9F9F9"/>
          </w:tcPr>
          <w:p>
            <w:pPr>
              <w:spacing w:before="0" w:after="0" w:line="264" w:lineRule="auto"/>
              <w:jc w:val="left"/>
            </w:pPr>
            <w:r>
              <w:rPr>
                <w:rFonts w:ascii="Arial" w:hAnsi="Arial"/>
                <w:b/>
                <w:sz w:val="17"/>
              </w:rPr>
              <w:t>1. Additional Comments and Suggestions:</w:t>
            </w:r>
          </w:p>
        </w:tc>
        <w:tc>
          <w:tcPr>
            <w:tcW w:type="dxa" w:w="5112"/>
            <w:tcMar>
              <w:top w:w="80" w:type="dxa"/>
              <w:bottom w:w="80" w:type="dxa"/>
              <w:left w:w="100" w:type="dxa"/>
              <w:right w:w="100" w:type="dxa"/>
            </w:tcMar>
          </w:tcPr>
          <w:p>
            <w:pPr>
              <w:spacing w:before="0" w:after="0" w:line="264" w:lineRule="auto"/>
              <w:jc w:val="left"/>
            </w:pPr>
            <w:r>
              <w:rPr>
                <w:rFonts w:ascii="Arial" w:hAnsi="Arial"/>
                <w:b w:val="0"/>
                <w:sz w:val="17"/>
              </w:rPr>
              <w:br/>
              <w:br/>
              <w:br/>
            </w:r>
          </w:p>
        </w:tc>
      </w:tr>
      <w:tr>
        <w:trPr>
          <w:cantSplit/>
        </w:trPr>
        <w:tc>
          <w:tcPr>
            <w:tcW w:type="dxa" w:w="5112"/>
            <w:tcMar>
              <w:top w:w="80" w:type="dxa"/>
              <w:bottom w:w="80" w:type="dxa"/>
              <w:left w:w="100" w:type="dxa"/>
              <w:right w:w="100" w:type="dxa"/>
            </w:tcMar>
            <w:shd w:fill="F9F9F9"/>
          </w:tcPr>
          <w:p>
            <w:pPr>
              <w:spacing w:before="0" w:after="0" w:line="264" w:lineRule="auto"/>
              <w:jc w:val="left"/>
            </w:pPr>
            <w:r>
              <w:rPr>
                <w:rFonts w:ascii="Arial" w:hAnsi="Arial"/>
                <w:b/>
                <w:sz w:val="17"/>
              </w:rPr>
              <w:t>2. Recommended Action:</w:t>
            </w:r>
          </w:p>
        </w:tc>
        <w:tc>
          <w:tcPr>
            <w:tcW w:type="dxa" w:w="5112"/>
            <w:tcMar>
              <w:top w:w="80" w:type="dxa"/>
              <w:bottom w:w="80" w:type="dxa"/>
              <w:left w:w="100" w:type="dxa"/>
              <w:right w:w="100" w:type="dxa"/>
            </w:tcMar>
          </w:tcPr>
          <w:p>
            <w:pPr>
              <w:spacing w:before="0" w:after="0" w:line="264" w:lineRule="auto"/>
              <w:jc w:val="left"/>
            </w:pPr>
            <w:r>
              <w:rPr>
                <w:rFonts w:ascii="Arial" w:hAnsi="Arial"/>
                <w:b w:val="0"/>
                <w:sz w:val="17"/>
              </w:rPr>
              <w:t>☐ APPROVED        ☐ FOR MINOR REVISION        ☐ FOR MAJOR REVISION        ☐ DISAPPROVED</w:t>
            </w:r>
          </w:p>
        </w:tc>
      </w:tr>
      <w:tr>
        <w:trPr>
          <w:cantSplit/>
        </w:trPr>
        <w:tc>
          <w:tcPr>
            <w:tcW w:type="dxa" w:w="5112"/>
            <w:tcMar>
              <w:top w:w="80" w:type="dxa"/>
              <w:bottom w:w="80" w:type="dxa"/>
              <w:left w:w="100" w:type="dxa"/>
              <w:right w:w="100" w:type="dxa"/>
            </w:tcMar>
            <w:shd w:fill="F9F9F9"/>
          </w:tcPr>
          <w:p>
            <w:pPr>
              <w:spacing w:before="0" w:after="0" w:line="264" w:lineRule="auto"/>
              <w:jc w:val="left"/>
            </w:pPr>
            <w:r>
              <w:rPr>
                <w:rFonts w:ascii="Arial" w:hAnsi="Arial"/>
                <w:b/>
                <w:sz w:val="17"/>
              </w:rPr>
              <w:t>3. Primary Reviewer’s Information:</w:t>
            </w:r>
          </w:p>
        </w:tc>
        <w:tc>
          <w:tcPr>
            <w:tcW w:type="dxa" w:w="5112"/>
            <w:tcMar>
              <w:top w:w="80" w:type="dxa"/>
              <w:bottom w:w="80" w:type="dxa"/>
              <w:left w:w="100" w:type="dxa"/>
              <w:right w:w="100" w:type="dxa"/>
            </w:tcMar>
          </w:tcPr>
          <w:p>
            <w:pPr>
              <w:spacing w:before="0" w:after="0" w:line="264" w:lineRule="auto"/>
              <w:jc w:val="left"/>
            </w:pPr>
            <w:r>
              <w:rPr>
                <w:rFonts w:ascii="Arial" w:hAnsi="Arial"/>
                <w:b w:val="0"/>
                <w:sz w:val="17"/>
              </w:rPr>
              <w:t>Name and Signature: ____________________________________________________</w:t>
            </w:r>
          </w:p>
        </w:tc>
      </w:tr>
      <w:tr>
        <w:trPr>
          <w:cantSplit/>
        </w:trPr>
        <w:tc>
          <w:tcPr>
            <w:tcW w:type="dxa" w:w="5112"/>
            <w:tcMar>
              <w:top w:w="80" w:type="dxa"/>
              <w:bottom w:w="80" w:type="dxa"/>
              <w:left w:w="100" w:type="dxa"/>
              <w:right w:w="100" w:type="dxa"/>
            </w:tcMar>
            <w:shd w:fill="F9F9F9"/>
          </w:tcPr>
          <w:p>
            <w:pPr>
              <w:spacing w:before="0" w:after="0" w:line="264" w:lineRule="auto"/>
              <w:jc w:val="left"/>
            </w:pPr>
            <w:r>
              <w:rPr>
                <w:rFonts w:ascii="Arial" w:hAnsi="Arial"/>
                <w:b/>
                <w:sz w:val="17"/>
              </w:rPr>
              <w:t>Date Reviewed:</w:t>
            </w:r>
          </w:p>
        </w:tc>
        <w:tc>
          <w:tcPr>
            <w:tcW w:type="dxa" w:w="5112"/>
            <w:tcMar>
              <w:top w:w="80" w:type="dxa"/>
              <w:bottom w:w="80" w:type="dxa"/>
              <w:left w:w="100" w:type="dxa"/>
              <w:right w:w="100" w:type="dxa"/>
            </w:tcMar>
          </w:tcPr>
          <w:p>
            <w:pPr>
              <w:spacing w:before="0" w:after="0" w:line="264" w:lineRule="auto"/>
              <w:jc w:val="left"/>
            </w:pPr>
            <w:r>
              <w:rPr>
                <w:rFonts w:ascii="Arial" w:hAnsi="Arial"/>
                <w:b w:val="0"/>
                <w:sz w:val="17"/>
              </w:rPr>
              <w:t>________________________________________</w:t>
            </w:r>
          </w:p>
        </w:tc>
      </w:tr>
      <w:tr>
        <w:trPr>
          <w:cantSplit/>
        </w:trPr>
        <w:tc>
          <w:tcPr>
            <w:tcW w:type="dxa" w:w="5112"/>
            <w:tcMar>
              <w:top w:w="80" w:type="dxa"/>
              <w:bottom w:w="80" w:type="dxa"/>
              <w:left w:w="100" w:type="dxa"/>
              <w:right w:w="100" w:type="dxa"/>
            </w:tcMar>
            <w:shd w:fill="F9F9F9"/>
          </w:tcPr>
          <w:p>
            <w:pPr>
              <w:spacing w:before="0" w:after="0" w:line="264" w:lineRule="auto"/>
              <w:jc w:val="left"/>
            </w:pPr>
            <w:r>
              <w:rPr>
                <w:rFonts w:ascii="Arial" w:hAnsi="Arial"/>
                <w:b/>
                <w:sz w:val="17"/>
              </w:rPr>
              <w:t>Date Submitted to Secretariat:</w:t>
            </w:r>
          </w:p>
        </w:tc>
        <w:tc>
          <w:tcPr>
            <w:tcW w:type="dxa" w:w="5112"/>
            <w:tcMar>
              <w:top w:w="80" w:type="dxa"/>
              <w:bottom w:w="80" w:type="dxa"/>
              <w:left w:w="100" w:type="dxa"/>
              <w:right w:w="100" w:type="dxa"/>
            </w:tcMar>
          </w:tcPr>
          <w:p>
            <w:pPr>
              <w:spacing w:before="0" w:after="0" w:line="264" w:lineRule="auto"/>
              <w:jc w:val="left"/>
            </w:pPr>
            <w:r>
              <w:rPr>
                <w:rFonts w:ascii="Arial" w:hAnsi="Arial"/>
                <w:b w:val="0"/>
                <w:sz w:val="17"/>
              </w:rPr>
              <w:t>________________________________________</w:t>
            </w:r>
          </w:p>
        </w:tc>
      </w:tr>
      <w:tr>
        <w:trPr>
          <w:cantSplit/>
        </w:trPr>
        <w:tc>
          <w:tcPr>
            <w:tcW w:type="dxa" w:w="10224"/>
            <w:gridSpan w:val="2"/>
            <w:tcMar>
              <w:top w:w="80" w:type="dxa"/>
              <w:bottom w:w="80" w:type="dxa"/>
              <w:left w:w="100" w:type="dxa"/>
              <w:right w:w="100" w:type="dxa"/>
            </w:tcMar>
          </w:tcPr>
          <w:p>
            <w:pPr>
              <w:spacing w:before="0" w:after="0" w:line="264" w:lineRule="auto"/>
              <w:jc w:val="center"/>
            </w:pPr>
            <w:r>
              <w:rPr>
                <w:rFonts w:ascii="Arial" w:hAnsi="Arial"/>
                <w:b w:val="0"/>
                <w:sz w:val="16"/>
              </w:rPr>
              <w:t>--------------------------------------------- END OF DOCUMENT ---------------------------------------------</w:t>
            </w:r>
          </w:p>
        </w:tc>
      </w:tr>
    </w:tbl>
    <w:sectPr w:rsidR="00FC693F" w:rsidRPr="0006063C" w:rsidSect="00034616">
      <w:footerReference w:type="default" r:id="rId9"/>
      <w:pgSz w:w="12240" w:h="1872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color w:val="666666"/>
        <w:sz w:val="17"/>
      </w:rPr>
      <w:t>FORM 7.2: Application For Ethics Review Of A New Protocol</w:t>
      <w:br/>
      <w:t xml:space="preserve">6 June 2024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