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360"/>
        <w:jc w:val="center"/>
      </w:pPr>
      <w:r>
        <w:rPr>
          <w:rFonts w:ascii="Times New Roman" w:hAnsi="Times New Roman"/>
          <w:b/>
          <w:sz w:val="28"/>
        </w:rPr>
        <w:t>SolanaWatch: Capstone Project Proposal (Chapters 1–3)</w:t>
      </w:r>
    </w:p>
    <w:p>
      <w:pPr>
        <w:keepNext/>
        <w:spacing w:before="360" w:after="160"/>
        <w:jc w:val="center"/>
      </w:pPr>
      <w:r>
        <w:rPr>
          <w:rFonts w:ascii="Times New Roman" w:hAnsi="Times New Roman"/>
          <w:b/>
          <w:sz w:val="28"/>
        </w:rPr>
        <w:t>Chapter 1: Introduction</w:t>
      </w:r>
    </w:p>
    <w:p>
      <w:pPr>
        <w:keepNext/>
        <w:spacing w:before="280" w:after="120"/>
        <w:jc w:val="left"/>
      </w:pPr>
      <w:r>
        <w:rPr>
          <w:rFonts w:ascii="Times New Roman" w:hAnsi="Times New Roman"/>
          <w:b/>
          <w:sz w:val="26"/>
        </w:rPr>
        <w:t>Project Context</w:t>
      </w:r>
    </w:p>
    <w:p>
      <w:pPr>
        <w:spacing w:before="0" w:after="120" w:line="360" w:lineRule="auto"/>
        <w:ind w:firstLine="720"/>
        <w:jc w:val="both"/>
      </w:pPr>
      <w:r>
        <w:rPr>
          <w:rFonts w:ascii="Times New Roman" w:hAnsi="Times New Roman"/>
          <w:b w:val="0"/>
          <w:color w:val="000000"/>
          <w:sz w:val="24"/>
        </w:rPr>
        <w:t>Solanaceae crops, which include tomatoes, peppers, eggplants, and potatoes, are among the economically important vegetable crops cultivated in the Philippines. According to the Philippine Statistics Authority (PSA, 2026), tomatoes, eggplants, and potatoes are recognized as major vegetable crops that significantly impact the country's vegetable production and the livelihoods of many Filipino farmers. According to the latest PSA Major Vegetables and Rootcrops Quarterly Bulletin, eggplant remains one of the most heavily produced crops in this category, with production volumes consistently exceeding 100,000 metric tons per quarter, while tomato production regularly reaches between 70,000 to 93,000 metric tons depending on the harvest season. Their high market demand and nutritional value make them important to food security and the agricultural economy. Given their economic importance, effective disease management is essential to sustaining the productivity of Solanaceae crops and reducing crop losses among farmers (Aquino et al., 2024).</w:t>
      </w:r>
    </w:p>
    <w:p>
      <w:pPr>
        <w:spacing w:before="0" w:after="120" w:line="360" w:lineRule="auto"/>
        <w:ind w:firstLine="720"/>
        <w:jc w:val="both"/>
      </w:pPr>
      <w:r>
        <w:rPr>
          <w:rFonts w:ascii="Times New Roman" w:hAnsi="Times New Roman"/>
          <w:b w:val="0"/>
          <w:color w:val="000000"/>
          <w:sz w:val="24"/>
        </w:rPr>
        <w:t>Among the diseases that significantly affect Solanaceae crops are late blight and bacterial wilt, both of which can cause severe production losses when preventive measures are not implemented promptly (Aumentado &amp; Balendres, 2024; Subedi et al., 2024). The development of these diseases is closely associated with environmental conditions within the field. Late Blight (</w:t>
      </w:r>
      <w:r>
        <w:rPr>
          <w:rFonts w:ascii="Times New Roman" w:hAnsi="Times New Roman"/>
          <w:i/>
          <w:color w:val="000000"/>
          <w:sz w:val="24"/>
        </w:rPr>
        <w:t>Phytophthora infestans</w:t>
      </w:r>
      <w:r>
        <w:rPr>
          <w:rFonts w:ascii="Times New Roman" w:hAnsi="Times New Roman"/>
          <w:b w:val="0"/>
          <w:color w:val="000000"/>
          <w:sz w:val="24"/>
        </w:rPr>
        <w:t>) thrives in environments with high relative humidity, prolonged leaf wetness, and moderate temperatures, whereas Bacterial Wilt (</w:t>
      </w:r>
      <w:r>
        <w:rPr>
          <w:rFonts w:ascii="Times New Roman" w:hAnsi="Times New Roman"/>
          <w:i/>
          <w:color w:val="000000"/>
          <w:sz w:val="24"/>
        </w:rPr>
        <w:t>Ralstonia pseudosolanacearum</w:t>
      </w:r>
      <w:r>
        <w:rPr>
          <w:rFonts w:ascii="Times New Roman" w:hAnsi="Times New Roman"/>
          <w:b w:val="0"/>
          <w:color w:val="000000"/>
          <w:sz w:val="24"/>
        </w:rPr>
        <w:t>) is more prevalent under warm soil temperatures and high soil moisture. Because these environmental conditions may change rapidly throughout the day, periods favorable for disease development can occur before visible symptoms appear on the crops. Consequently, delayed intervention may result in harvest losses ranging from 50% to 90%, significantly affecting farmers' productivity and income.</w:t>
      </w:r>
    </w:p>
    <w:p>
      <w:pPr>
        <w:spacing w:before="0" w:after="120" w:line="360" w:lineRule="auto"/>
        <w:ind w:firstLine="720"/>
        <w:jc w:val="both"/>
      </w:pPr>
      <w:r>
        <w:rPr>
          <w:rFonts w:ascii="Times New Roman" w:hAnsi="Times New Roman"/>
          <w:b w:val="0"/>
          <w:color w:val="000000"/>
          <w:sz w:val="24"/>
        </w:rPr>
        <w:t>Based on recent agricultural literature and field assessments of local cultivation practices, disease monitoring in soil-grown Solanaceae crops is still primarily performed through manual visual inspection. Existing research indicates that farmers typically identify diseases only after observing visible symptoms such as leaf spots, discoloration, wilting, or general plant decline. Although this practice is widely adopted across small-scale and smallholder farms due to its simplicity and zero initial cost, plant pathology studies emphasize that visual scouting often detects diseases only after the infection has heavily progressed. Consequently, growers have a limited opportunity to implement timely preventive measures, reducing the overall effectiveness of localized disease management practices and increasing their eventual dependence on chemical treatments to control disease spread. Given that microclimatic conditions fluctuate rapidly throughout the day, relying solely on visual inspection is technically insufficient to identify disease-conducive conditions before irreversible crop damage occurs.</w:t>
      </w:r>
    </w:p>
    <w:p>
      <w:pPr>
        <w:spacing w:before="0" w:after="120" w:line="360" w:lineRule="auto"/>
        <w:ind w:firstLine="720"/>
        <w:jc w:val="both"/>
      </w:pPr>
      <w:r>
        <w:rPr>
          <w:rFonts w:ascii="Times New Roman" w:hAnsi="Times New Roman"/>
          <w:b w:val="0"/>
          <w:color w:val="000000"/>
          <w:sz w:val="24"/>
        </w:rPr>
        <w:t>Continuous environmental monitoring could provide farmers with earlier indications of disease risk by tracking environmental conditions that favor pathogen development. However, implementing such monitoring remains challenging, particularly in small-scale farming environments. Many farming sites experience unstable internet connectivity and occasional power interruptions, which disrupt IoT-based monitoring systems that rely on continuous network access and external power sources. These interruptions may prevent the continuous collection and transmission of environmental data, resulting in incomplete environmental records and reducing the reliability of disease-risk assessment during periods when timely information is most needed.</w:t>
      </w:r>
    </w:p>
    <w:p>
      <w:pPr>
        <w:spacing w:before="0" w:after="120" w:line="360" w:lineRule="auto"/>
        <w:ind w:firstLine="720"/>
        <w:jc w:val="both"/>
      </w:pPr>
      <w:r>
        <w:rPr>
          <w:rFonts w:ascii="Times New Roman" w:hAnsi="Times New Roman"/>
          <w:b w:val="0"/>
          <w:color w:val="000000"/>
          <w:sz w:val="24"/>
        </w:rPr>
        <w:t>Recent advancements in smart agriculture have introduced technologies that improve environmental monitoring and farm management. The integration of the Internet of Things (IoT) has enabled automated collection of environmental data through distributed sensors, allowing farmers to remotely monitor field conditions and improve decision-making (Mastul et al., 2023; Ndjuluwa et al., 2023). Existing agricultural technologies include IoT-based automated irrigation systems (Idris et al., 2024), commercial smart farming platforms utilizing cloud-based analytics, regional weather-based disease forecasting systems, and image-based Artificial Intelligence (AI) applications for plant disease detection (Jafar et al., 2024). While these technologies have contributed to modern agricultural practices, they also present several limitations. Image-based AI systems generally identify diseases only after visible symptoms have developed, regional weather forecasting platforms may not accurately represent the microclimatic conditions within individual farms, and many commercial IoT solutions require substantial financial investment, technical expertise, reliable internet connectivity, and uninterrupted power to operate effectively.</w:t>
      </w:r>
    </w:p>
    <w:p>
      <w:pPr>
        <w:spacing w:before="0" w:after="120" w:line="360" w:lineRule="auto"/>
        <w:ind w:firstLine="720"/>
        <w:jc w:val="both"/>
      </w:pPr>
      <w:r>
        <w:rPr>
          <w:rFonts w:ascii="Times New Roman" w:hAnsi="Times New Roman"/>
          <w:b w:val="0"/>
          <w:color w:val="000000"/>
          <w:sz w:val="24"/>
        </w:rPr>
        <w:t>Despite these advancements, no single solution adequately combines localized environmental monitoring, resilient data collection during temporary internet and power interruptions, and environmental-based disease-risk assessment into an affordable platform suitable for small-scale Solanaceae crop production. There is also a need for a system capable of evaluating disease risk using environmental conditions measured directly in the field, rather than relying solely on visible symptoms or regional weather information. Such a system would enable farmers to recognize disease-conducive conditions earlier and implement preventive measures before significant crop damage occurs.</w:t>
      </w:r>
    </w:p>
    <w:p>
      <w:pPr>
        <w:spacing w:before="0" w:after="120" w:line="360" w:lineRule="auto"/>
        <w:ind w:firstLine="720"/>
        <w:jc w:val="both"/>
      </w:pPr>
      <w:r>
        <w:rPr>
          <w:rFonts w:ascii="Times New Roman" w:hAnsi="Times New Roman"/>
          <w:b w:val="0"/>
          <w:color w:val="000000"/>
          <w:sz w:val="24"/>
        </w:rPr>
        <w:t>To address these challenges, the proponents will develop SolanaWatch, an Internet of Things (IoT)-based disease early warning system designed for soil-grown Solanaceae crops. The proposed system will continuously monitor localized environmental parameters associated with the development of late blight and bacterial wilt. Environmental data will be collected continuously and will be synchronized with a cloud-based backend for storage and analysis using established disease-risk models and environmental threshold values reported in plant pathology literature. During temporary internet interruptions, environmental data will be stored locally and will be automatically synchronized with the cloud database once connectivity is restored. The processed information will be presented through a web-based dashboard that will enable users to monitor field conditions, review historical environmental records, and receive timely notifications when environmental conditions become favorable for disease development.</w:t>
      </w:r>
    </w:p>
    <w:p>
      <w:pPr>
        <w:keepNext/>
        <w:spacing w:before="280" w:after="120"/>
        <w:jc w:val="left"/>
      </w:pPr>
      <w:r>
        <w:rPr>
          <w:rFonts w:ascii="Times New Roman" w:hAnsi="Times New Roman"/>
          <w:b/>
          <w:sz w:val="26"/>
        </w:rPr>
        <w:t>Purpose and Description</w:t>
      </w:r>
    </w:p>
    <w:p>
      <w:pPr>
        <w:spacing w:before="0" w:after="120" w:line="360" w:lineRule="auto"/>
        <w:ind w:firstLine="720"/>
        <w:jc w:val="both"/>
      </w:pPr>
      <w:r>
        <w:rPr>
          <w:rFonts w:ascii="Times New Roman" w:hAnsi="Times New Roman"/>
          <w:b w:val="0"/>
          <w:color w:val="000000"/>
          <w:sz w:val="24"/>
        </w:rPr>
        <w:t xml:space="preserve">The purpose of this study is to develop </w:t>
      </w:r>
      <w:r>
        <w:rPr>
          <w:rFonts w:ascii="Times New Roman" w:hAnsi="Times New Roman"/>
          <w:b/>
          <w:color w:val="000000"/>
          <w:sz w:val="24"/>
        </w:rPr>
        <w:t>SolanaWatch</w:t>
      </w:r>
      <w:r>
        <w:rPr>
          <w:rFonts w:ascii="Times New Roman" w:hAnsi="Times New Roman"/>
          <w:b w:val="0"/>
          <w:color w:val="000000"/>
          <w:sz w:val="24"/>
        </w:rPr>
        <w:t>, an Internet of Things (IoT)-based disease early warning system for soil-grown Solanaceae crops. The proposed system aims to assist farmers in monitoring environmental conditions associated with the development of late blight and bacterial wilt by automatically collecting localized environmental data, evaluating disease risk through a rule-based assessment using environmental threshold values reported in plant pathology literature, and providing timely notifications when environmental conditions become favorable for disease development. By supporting the early identification of disease-conducive conditions, the proposed system is designed to enhance farmers' decision-making in implementing appropriate preventive disease management practices, as well as contribute to efforts to minimize crop losses and unnecessary pesticide applications.</w:t>
      </w:r>
    </w:p>
    <w:p>
      <w:pPr>
        <w:keepNext/>
        <w:spacing w:before="200" w:after="80"/>
        <w:jc w:val="left"/>
      </w:pPr>
      <w:r>
        <w:rPr>
          <w:rFonts w:ascii="Times New Roman" w:hAnsi="Times New Roman"/>
          <w:b/>
          <w:sz w:val="24"/>
        </w:rPr>
        <w:t>Intended Beneficiaries</w:t>
      </w:r>
    </w:p>
    <w:p>
      <w:pPr>
        <w:spacing w:before="0" w:after="120" w:line="360" w:lineRule="auto"/>
        <w:ind w:firstLine="720"/>
        <w:jc w:val="both"/>
      </w:pPr>
      <w:r>
        <w:rPr>
          <w:rFonts w:ascii="Times New Roman" w:hAnsi="Times New Roman"/>
          <w:b w:val="0"/>
          <w:color w:val="000000"/>
          <w:sz w:val="24"/>
        </w:rPr>
        <w:t>The proposed system is expected to directly benefit several agricultural stakeholder groups:</w:t>
      </w:r>
    </w:p>
    <w:p>
      <w:pPr>
        <w:pStyle w:val="ListBullet"/>
        <w:spacing w:after="60" w:line="360" w:lineRule="auto"/>
      </w:pPr>
      <w:r>
        <w:rPr>
          <w:rFonts w:ascii="Times New Roman" w:hAnsi="Times New Roman"/>
          <w:b/>
          <w:color w:val="000000"/>
          <w:sz w:val="24"/>
        </w:rPr>
        <w:t>Small-Scale and Smallholder Solanaceae Farmers</w:t>
      </w:r>
      <w:r>
        <w:rPr>
          <w:rFonts w:ascii="Times New Roman" w:hAnsi="Times New Roman"/>
          <w:b w:val="0"/>
          <w:color w:val="000000"/>
          <w:sz w:val="24"/>
        </w:rPr>
        <w:t>: Provides an affordable, accessible, and automated tool to monitor crop microclimates in real time, receive early visual warnings, and implement timely preventive actions before visible symptoms or severe crop damage occur.</w:t>
      </w:r>
    </w:p>
    <w:p>
      <w:pPr>
        <w:pStyle w:val="ListBullet"/>
        <w:spacing w:after="60" w:line="360" w:lineRule="auto"/>
      </w:pPr>
      <w:r>
        <w:rPr>
          <w:rFonts w:ascii="Times New Roman" w:hAnsi="Times New Roman"/>
          <w:b/>
          <w:color w:val="000000"/>
          <w:sz w:val="24"/>
        </w:rPr>
        <w:t>Agricultural Technicians and Extension Personnel</w:t>
      </w:r>
      <w:r>
        <w:rPr>
          <w:rFonts w:ascii="Times New Roman" w:hAnsi="Times New Roman"/>
          <w:b w:val="0"/>
          <w:color w:val="000000"/>
          <w:sz w:val="24"/>
        </w:rPr>
        <w:t>: Equips field officers and technicians from local government units (LGUs) and agricultural agencies with centralized historical environmental records to support localized advisory services and proactive farm management.</w:t>
      </w:r>
    </w:p>
    <w:p>
      <w:pPr>
        <w:pStyle w:val="ListBullet"/>
        <w:spacing w:after="60" w:line="360" w:lineRule="auto"/>
      </w:pPr>
      <w:r>
        <w:rPr>
          <w:rFonts w:ascii="Times New Roman" w:hAnsi="Times New Roman"/>
          <w:b/>
          <w:color w:val="000000"/>
          <w:sz w:val="24"/>
        </w:rPr>
        <w:t>Agricultural Researchers</w:t>
      </w:r>
      <w:r>
        <w:rPr>
          <w:rFonts w:ascii="Times New Roman" w:hAnsi="Times New Roman"/>
          <w:b w:val="0"/>
          <w:color w:val="000000"/>
          <w:sz w:val="24"/>
        </w:rPr>
        <w:t>: Provides empirical field data on localized microclimatic trends, soil hydrothermal dynamics, and disease favorability conditions to support future studies on Solanaceae crop health in the Philippines.</w:t>
      </w:r>
    </w:p>
    <w:p>
      <w:pPr>
        <w:keepNext/>
        <w:spacing w:before="200" w:after="80"/>
        <w:jc w:val="left"/>
      </w:pPr>
      <w:r>
        <w:rPr>
          <w:rFonts w:ascii="Times New Roman" w:hAnsi="Times New Roman"/>
          <w:b/>
          <w:sz w:val="24"/>
        </w:rPr>
        <w:t>Overview of the Proposed System</w:t>
      </w:r>
    </w:p>
    <w:p>
      <w:pPr>
        <w:spacing w:before="0" w:after="120" w:line="360" w:lineRule="auto"/>
        <w:ind w:firstLine="720"/>
        <w:jc w:val="both"/>
      </w:pPr>
      <w:r>
        <w:rPr>
          <w:rFonts w:ascii="Times New Roman" w:hAnsi="Times New Roman"/>
          <w:b w:val="0"/>
          <w:color w:val="000000"/>
          <w:sz w:val="24"/>
        </w:rPr>
        <w:t>The proposed SolanaWatch system consists of three main conceptual subsystems:</w:t>
      </w:r>
    </w:p>
    <w:p>
      <w:pPr>
        <w:pStyle w:val="ListNumber"/>
        <w:spacing w:after="60" w:line="360" w:lineRule="auto"/>
      </w:pPr>
      <w:r>
        <w:rPr>
          <w:rFonts w:ascii="Times New Roman" w:hAnsi="Times New Roman"/>
          <w:b/>
          <w:color w:val="000000"/>
          <w:sz w:val="24"/>
        </w:rPr>
        <w:t>Environmental Sensing and Edge Node Subsystem</w:t>
      </w:r>
      <w:r>
        <w:rPr>
          <w:rFonts w:ascii="Times New Roman" w:hAnsi="Times New Roman"/>
          <w:b w:val="0"/>
          <w:color w:val="000000"/>
          <w:sz w:val="24"/>
        </w:rPr>
        <w:t>: Deployed directly in the crop field, this subsystem automatically and periodically measures localized canopy and soil parameters, including air temperature, relative humidity, leaf wetness, soil temperature, and soil moisture. It incorporates local offline data storage to preserve records during temporary connectivity interruptions, supported by a dedicated solar-assisted power subsystem for continuous operation.</w:t>
      </w:r>
    </w:p>
    <w:p>
      <w:pPr>
        <w:pStyle w:val="ListNumber"/>
        <w:spacing w:after="60" w:line="360" w:lineRule="auto"/>
      </w:pPr>
      <w:r>
        <w:rPr>
          <w:rFonts w:ascii="Times New Roman" w:hAnsi="Times New Roman"/>
          <w:b/>
          <w:color w:val="000000"/>
          <w:sz w:val="24"/>
        </w:rPr>
        <w:t>Cloud Data Management and Disease-Risk Assessment Subsystem</w:t>
      </w:r>
      <w:r>
        <w:rPr>
          <w:rFonts w:ascii="Times New Roman" w:hAnsi="Times New Roman"/>
          <w:b w:val="0"/>
          <w:color w:val="000000"/>
          <w:sz w:val="24"/>
        </w:rPr>
        <w:t>: Receives transmitted telemetry, securely stores historical records in a cloud database, manages automatic synchronization of offline data, and evaluates multi-parameter readings against established plant pathology threshold models.</w:t>
      </w:r>
    </w:p>
    <w:p>
      <w:pPr>
        <w:pStyle w:val="ListNumber"/>
        <w:spacing w:after="60" w:line="360" w:lineRule="auto"/>
      </w:pPr>
      <w:r>
        <w:rPr>
          <w:rFonts w:ascii="Times New Roman" w:hAnsi="Times New Roman"/>
          <w:b/>
          <w:color w:val="000000"/>
          <w:sz w:val="24"/>
        </w:rPr>
        <w:t>Web-Based Monitoring Interface</w:t>
      </w:r>
      <w:r>
        <w:rPr>
          <w:rFonts w:ascii="Times New Roman" w:hAnsi="Times New Roman"/>
          <w:b w:val="0"/>
          <w:color w:val="000000"/>
          <w:sz w:val="24"/>
        </w:rPr>
        <w:t>: Presents real-time field measurements, historical visualization charts, device status indicators, and color-coded early warning notifications to authenticated users through a standard web browser.</w:t>
      </w:r>
    </w:p>
    <w:p>
      <w:pPr>
        <w:spacing w:before="80" w:after="200"/>
        <w:jc w:val="center"/>
      </w:pPr>
      <w:r>
        <w:rPr>
          <w:rFonts w:ascii="Times New Roman" w:hAnsi="Times New Roman"/>
          <w:b/>
          <w:color w:val="000000"/>
          <w:sz w:val="24"/>
        </w:rPr>
        <w:t>Figure 1 illustrates the high-level operational boundary and information flow of the proposed SolanaWatch system.</w:t>
      </w:r>
    </w:p>
    <w:p>
      <w:pPr>
        <w:spacing w:before="160" w:after="120"/>
        <w:jc w:val="center"/>
      </w:pPr>
      <w:r>
        <w:drawing>
          <wp:inline xmlns:a="http://schemas.openxmlformats.org/drawingml/2006/main" xmlns:pic="http://schemas.openxmlformats.org/drawingml/2006/picture">
            <wp:extent cx="5486400" cy="2737658"/>
            <wp:docPr id="1" name="Picture 1"/>
            <wp:cNvGraphicFramePr>
              <a:graphicFrameLocks noChangeAspect="1"/>
            </wp:cNvGraphicFramePr>
            <a:graphic>
              <a:graphicData uri="http://schemas.openxmlformats.org/drawingml/2006/picture">
                <pic:pic>
                  <pic:nvPicPr>
                    <pic:cNvPr id="0" name="figure1_context_diagram.png"/>
                    <pic:cNvPicPr/>
                  </pic:nvPicPr>
                  <pic:blipFill>
                    <a:blip r:embed="rId9"/>
                    <a:stretch>
                      <a:fillRect/>
                    </a:stretch>
                  </pic:blipFill>
                  <pic:spPr>
                    <a:xfrm>
                      <a:off x="0" y="0"/>
                      <a:ext cx="5486400" cy="2737658"/>
                    </a:xfrm>
                    <a:prstGeom prst="rect"/>
                  </pic:spPr>
                </pic:pic>
              </a:graphicData>
            </a:graphic>
          </wp:inline>
        </w:drawing>
      </w:r>
    </w:p>
    <w:p>
      <w:pPr>
        <w:spacing w:before="0" w:after="120" w:line="360" w:lineRule="auto"/>
        <w:ind w:firstLine="720"/>
        <w:jc w:val="both"/>
      </w:pPr>
      <w:r>
        <w:rPr>
          <w:rFonts w:ascii="Times New Roman" w:hAnsi="Times New Roman"/>
          <w:b w:val="0"/>
          <w:color w:val="000000"/>
          <w:sz w:val="24"/>
        </w:rPr>
        <w:t>The SolanaWatch Context Diagram defines the operational boundary of the system by showing how data moves between the core software platform and its external components. On the left, the physical Field Sensor Node acts as an input source, transmitting raw environmental data—air temperature, relative humidity, soil temperature, soil moisture, and leaf wetness—into the central SolanaWatch system. The central entity represents the core software engine, which processes these inputs and evaluates them against rule-based plant pathology thresholds. On the right, the Farmer and Agricultural Operator interact with the system through a web dashboard. This interaction is bidirectional: the user sends control inputs to log in, view field trends, and manage node configurations, while the system outputs real-time environmental data, historical charts, and immediate disease risk alerts back to the user.</w:t>
      </w:r>
    </w:p>
    <w:p>
      <w:pPr>
        <w:keepNext/>
        <w:spacing w:before="280" w:after="120"/>
        <w:jc w:val="left"/>
      </w:pPr>
      <w:r>
        <w:rPr>
          <w:rFonts w:ascii="Times New Roman" w:hAnsi="Times New Roman"/>
          <w:b/>
          <w:sz w:val="26"/>
        </w:rPr>
        <w:t>Objectives of the Study</w:t>
      </w:r>
    </w:p>
    <w:p>
      <w:pPr>
        <w:keepNext/>
        <w:spacing w:before="200" w:after="80"/>
        <w:jc w:val="left"/>
      </w:pPr>
      <w:r>
        <w:rPr>
          <w:rFonts w:ascii="Times New Roman" w:hAnsi="Times New Roman"/>
          <w:b/>
          <w:sz w:val="24"/>
        </w:rPr>
        <w:t>General Objective</w:t>
      </w:r>
    </w:p>
    <w:p>
      <w:pPr>
        <w:spacing w:before="0" w:after="120" w:line="360" w:lineRule="auto"/>
        <w:ind w:firstLine="720"/>
        <w:jc w:val="both"/>
      </w:pPr>
      <w:r>
        <w:rPr>
          <w:rFonts w:ascii="Times New Roman" w:hAnsi="Times New Roman"/>
          <w:b w:val="0"/>
          <w:color w:val="000000"/>
          <w:sz w:val="24"/>
        </w:rPr>
        <w:t xml:space="preserve">To design and develop </w:t>
      </w:r>
      <w:r>
        <w:rPr>
          <w:rFonts w:ascii="Times New Roman" w:hAnsi="Times New Roman"/>
          <w:b/>
          <w:color w:val="000000"/>
          <w:sz w:val="24"/>
        </w:rPr>
        <w:t>SolanaWatch</w:t>
      </w:r>
      <w:r>
        <w:rPr>
          <w:rFonts w:ascii="Times New Roman" w:hAnsi="Times New Roman"/>
          <w:b w:val="0"/>
          <w:color w:val="000000"/>
          <w:sz w:val="24"/>
        </w:rPr>
        <w:t>, an Internet of Things (IoT)-based disease early warning system for monitoring localized environmental conditions and assessing disease risk associated with late blight and bacterial wilt in soil-grown Solanaceae crops.</w:t>
      </w:r>
    </w:p>
    <w:p>
      <w:pPr>
        <w:keepNext/>
        <w:spacing w:before="200" w:after="80"/>
        <w:jc w:val="left"/>
      </w:pPr>
      <w:r>
        <w:rPr>
          <w:rFonts w:ascii="Times New Roman" w:hAnsi="Times New Roman"/>
          <w:b/>
          <w:sz w:val="24"/>
        </w:rPr>
        <w:t>Specific Objectives</w:t>
      </w:r>
    </w:p>
    <w:p>
      <w:pPr>
        <w:spacing w:before="0" w:after="120" w:line="360" w:lineRule="auto"/>
        <w:ind w:firstLine="720"/>
        <w:jc w:val="both"/>
      </w:pPr>
      <w:r>
        <w:rPr>
          <w:rFonts w:ascii="Times New Roman" w:hAnsi="Times New Roman"/>
          <w:b w:val="0"/>
          <w:color w:val="000000"/>
          <w:sz w:val="24"/>
        </w:rPr>
        <w:t>Specifically, the project aims to:</w:t>
      </w:r>
    </w:p>
    <w:p>
      <w:pPr>
        <w:pStyle w:val="ListNumber"/>
        <w:spacing w:after="60" w:line="360" w:lineRule="auto"/>
      </w:pPr>
      <w:r>
        <w:rPr>
          <w:rFonts w:ascii="Times New Roman" w:hAnsi="Times New Roman"/>
          <w:b w:val="0"/>
          <w:color w:val="000000"/>
          <w:sz w:val="24"/>
        </w:rPr>
        <w:t>Design and develop an outdoor IoT-based sensing device capable of monitoring air temperature, relative humidity, soil temperature, soil moisture, and leaf wetness in real time.</w:t>
      </w:r>
    </w:p>
    <w:p>
      <w:pPr>
        <w:pStyle w:val="ListNumber"/>
        <w:spacing w:after="60" w:line="360" w:lineRule="auto"/>
      </w:pPr>
      <w:r>
        <w:rPr>
          <w:rFonts w:ascii="Times New Roman" w:hAnsi="Times New Roman"/>
          <w:b w:val="0"/>
          <w:color w:val="000000"/>
          <w:sz w:val="24"/>
        </w:rPr>
        <w:t>Integrate a solar-assisted power subsystem and local offline data storage to support continuous 24/7 field operation and preserve sensor readings during temporary network interruptions.</w:t>
      </w:r>
    </w:p>
    <w:p>
      <w:pPr>
        <w:pStyle w:val="ListNumber"/>
        <w:spacing w:after="60" w:line="360" w:lineRule="auto"/>
      </w:pPr>
      <w:r>
        <w:rPr>
          <w:rFonts w:ascii="Times New Roman" w:hAnsi="Times New Roman"/>
          <w:b w:val="0"/>
          <w:color w:val="000000"/>
          <w:sz w:val="24"/>
        </w:rPr>
        <w:t>Develop a cloud-based backend for processing, storing, and managing environmental sensor data with support for automatic, duplicate-free data synchronization following connectivity restoration.</w:t>
      </w:r>
    </w:p>
    <w:p>
      <w:pPr>
        <w:pStyle w:val="ListNumber"/>
        <w:spacing w:after="60" w:line="360" w:lineRule="auto"/>
      </w:pPr>
      <w:r>
        <w:rPr>
          <w:rFonts w:ascii="Times New Roman" w:hAnsi="Times New Roman"/>
          <w:b w:val="0"/>
          <w:color w:val="000000"/>
          <w:sz w:val="24"/>
        </w:rPr>
        <w:t>Implement a rule-based disease-risk assessment module that analyzes multi-parameter environmental sensor data using established threshold values reported in plant pathology literature for late blight and bacterial wilt.</w:t>
      </w:r>
    </w:p>
    <w:p>
      <w:pPr>
        <w:pStyle w:val="ListNumber"/>
        <w:spacing w:after="60" w:line="360" w:lineRule="auto"/>
      </w:pPr>
      <w:r>
        <w:rPr>
          <w:rFonts w:ascii="Times New Roman" w:hAnsi="Times New Roman"/>
          <w:b w:val="0"/>
          <w:color w:val="000000"/>
          <w:sz w:val="24"/>
        </w:rPr>
        <w:t>Develop a web-based dashboard that provides real-time environmental monitoring, historical data visualization, device status tracking, and color-coded early warning notifications.</w:t>
      </w:r>
    </w:p>
    <w:p>
      <w:pPr>
        <w:pStyle w:val="ListNumber"/>
        <w:spacing w:after="60" w:line="360" w:lineRule="auto"/>
      </w:pPr>
      <w:r>
        <w:rPr>
          <w:rFonts w:ascii="Times New Roman" w:hAnsi="Times New Roman"/>
          <w:b w:val="0"/>
          <w:color w:val="000000"/>
          <w:sz w:val="24"/>
        </w:rPr>
        <w:t>Evaluate the functionality, performance, reliability, and usability of the developed system using ISO/IEC 25010 software quality characteristics and user acceptance feedback.</w:t>
      </w:r>
    </w:p>
    <w:p>
      <w:pPr>
        <w:keepNext/>
        <w:spacing w:before="280" w:after="120"/>
        <w:jc w:val="left"/>
      </w:pPr>
      <w:r>
        <w:rPr>
          <w:rFonts w:ascii="Times New Roman" w:hAnsi="Times New Roman"/>
          <w:b/>
          <w:sz w:val="26"/>
        </w:rPr>
        <w:t>Scope and Delimitations</w:t>
      </w:r>
    </w:p>
    <w:p>
      <w:pPr>
        <w:keepNext/>
        <w:spacing w:before="200" w:after="80"/>
        <w:jc w:val="left"/>
      </w:pPr>
      <w:r>
        <w:rPr>
          <w:rFonts w:ascii="Times New Roman" w:hAnsi="Times New Roman"/>
          <w:b/>
          <w:sz w:val="24"/>
        </w:rPr>
        <w:t>Scope</w:t>
      </w:r>
    </w:p>
    <w:p>
      <w:pPr>
        <w:spacing w:before="0" w:after="120" w:line="360" w:lineRule="auto"/>
        <w:ind w:firstLine="720"/>
        <w:jc w:val="both"/>
      </w:pPr>
      <w:r>
        <w:rPr>
          <w:rFonts w:ascii="Times New Roman" w:hAnsi="Times New Roman"/>
          <w:b w:val="0"/>
          <w:color w:val="000000"/>
          <w:sz w:val="24"/>
        </w:rPr>
        <w:t>This project covers the design, development, and evaluation of SolanaWatch, an Internet of Things (IoT)-based disease early warning system for soil-grown Solanaceae crops. Specifically, the project includes the following:</w:t>
      </w:r>
    </w:p>
    <w:p>
      <w:pPr>
        <w:pStyle w:val="ListBullet"/>
        <w:spacing w:after="60" w:line="360" w:lineRule="auto"/>
      </w:pPr>
      <w:r>
        <w:rPr>
          <w:rFonts w:ascii="Times New Roman" w:hAnsi="Times New Roman"/>
          <w:b/>
          <w:color w:val="000000"/>
          <w:sz w:val="24"/>
        </w:rPr>
        <w:t>Target Crops</w:t>
      </w:r>
      <w:r>
        <w:rPr>
          <w:rFonts w:ascii="Times New Roman" w:hAnsi="Times New Roman"/>
          <w:b w:val="0"/>
          <w:color w:val="000000"/>
          <w:sz w:val="24"/>
        </w:rPr>
        <w:t>: The study focuses on soil-grown Solanaceae crops cultivated in the Philippines, specifically tomato (</w:t>
      </w:r>
      <w:r>
        <w:rPr>
          <w:rFonts w:ascii="Times New Roman" w:hAnsi="Times New Roman"/>
          <w:i/>
          <w:color w:val="000000"/>
          <w:sz w:val="24"/>
        </w:rPr>
        <w:t>Solanum lycopersicum</w:t>
      </w:r>
      <w:r>
        <w:rPr>
          <w:rFonts w:ascii="Times New Roman" w:hAnsi="Times New Roman"/>
          <w:b w:val="0"/>
          <w:color w:val="000000"/>
          <w:sz w:val="24"/>
        </w:rPr>
        <w:t>), eggplant (</w:t>
      </w:r>
      <w:r>
        <w:rPr>
          <w:rFonts w:ascii="Times New Roman" w:hAnsi="Times New Roman"/>
          <w:i/>
          <w:color w:val="000000"/>
          <w:sz w:val="24"/>
        </w:rPr>
        <w:t>Solanum melongena</w:t>
      </w:r>
      <w:r>
        <w:rPr>
          <w:rFonts w:ascii="Times New Roman" w:hAnsi="Times New Roman"/>
          <w:b w:val="0"/>
          <w:color w:val="000000"/>
          <w:sz w:val="24"/>
        </w:rPr>
        <w:t>), pepper (</w:t>
      </w:r>
      <w:r>
        <w:rPr>
          <w:rFonts w:ascii="Times New Roman" w:hAnsi="Times New Roman"/>
          <w:i/>
          <w:color w:val="000000"/>
          <w:sz w:val="24"/>
        </w:rPr>
        <w:t>Capsicum annuum</w:t>
      </w:r>
      <w:r>
        <w:rPr>
          <w:rFonts w:ascii="Times New Roman" w:hAnsi="Times New Roman"/>
          <w:b w:val="0"/>
          <w:color w:val="000000"/>
          <w:sz w:val="24"/>
        </w:rPr>
        <w:t>), and potato (</w:t>
      </w:r>
      <w:r>
        <w:rPr>
          <w:rFonts w:ascii="Times New Roman" w:hAnsi="Times New Roman"/>
          <w:i/>
          <w:color w:val="000000"/>
          <w:sz w:val="24"/>
        </w:rPr>
        <w:t>Solanum tuberosum</w:t>
      </w:r>
      <w:r>
        <w:rPr>
          <w:rFonts w:ascii="Times New Roman" w:hAnsi="Times New Roman"/>
          <w:b w:val="0"/>
          <w:color w:val="000000"/>
          <w:sz w:val="24"/>
        </w:rPr>
        <w:t>).</w:t>
      </w:r>
    </w:p>
    <w:p>
      <w:pPr>
        <w:pStyle w:val="ListBullet"/>
        <w:spacing w:after="60" w:line="360" w:lineRule="auto"/>
      </w:pPr>
      <w:r>
        <w:rPr>
          <w:rFonts w:ascii="Times New Roman" w:hAnsi="Times New Roman"/>
          <w:b/>
          <w:color w:val="000000"/>
          <w:sz w:val="24"/>
        </w:rPr>
        <w:t>Target Diseases</w:t>
      </w:r>
      <w:r>
        <w:rPr>
          <w:rFonts w:ascii="Times New Roman" w:hAnsi="Times New Roman"/>
          <w:b w:val="0"/>
          <w:color w:val="000000"/>
          <w:sz w:val="24"/>
        </w:rPr>
        <w:t>: Disease-risk modeling focuses on two major pathologies: Late Blight (</w:t>
      </w:r>
      <w:r>
        <w:rPr>
          <w:rFonts w:ascii="Times New Roman" w:hAnsi="Times New Roman"/>
          <w:i/>
          <w:color w:val="000000"/>
          <w:sz w:val="24"/>
        </w:rPr>
        <w:t>Phytophthora infestans</w:t>
      </w:r>
      <w:r>
        <w:rPr>
          <w:rFonts w:ascii="Times New Roman" w:hAnsi="Times New Roman"/>
          <w:b w:val="0"/>
          <w:color w:val="000000"/>
          <w:sz w:val="24"/>
        </w:rPr>
        <w:t>) and Bacterial Wilt (</w:t>
      </w:r>
      <w:r>
        <w:rPr>
          <w:rFonts w:ascii="Times New Roman" w:hAnsi="Times New Roman"/>
          <w:i/>
          <w:color w:val="000000"/>
          <w:sz w:val="24"/>
        </w:rPr>
        <w:t>Ralstonia pseudosolanacearum</w:t>
      </w:r>
      <w:r>
        <w:rPr>
          <w:rFonts w:ascii="Times New Roman" w:hAnsi="Times New Roman"/>
          <w:b w:val="0"/>
          <w:color w:val="000000"/>
          <w:sz w:val="24"/>
        </w:rPr>
        <w:t>).</w:t>
      </w:r>
    </w:p>
    <w:p>
      <w:pPr>
        <w:pStyle w:val="ListBullet"/>
        <w:spacing w:after="60" w:line="360" w:lineRule="auto"/>
      </w:pPr>
      <w:r>
        <w:rPr>
          <w:rFonts w:ascii="Times New Roman" w:hAnsi="Times New Roman"/>
          <w:b/>
          <w:color w:val="000000"/>
          <w:sz w:val="24"/>
        </w:rPr>
        <w:t>Environmental Sensing</w:t>
      </w:r>
      <w:r>
        <w:rPr>
          <w:rFonts w:ascii="Times New Roman" w:hAnsi="Times New Roman"/>
          <w:b w:val="0"/>
          <w:color w:val="000000"/>
          <w:sz w:val="24"/>
        </w:rPr>
        <w:t>: Real-time acquisition of localized parameters, including ambient air temperature, relative humidity, root-zone soil temperature (at 10 cm depth), soil moisture (at 10 cm depth), and foliar leaf wetness duration.</w:t>
      </w:r>
    </w:p>
    <w:p>
      <w:pPr>
        <w:pStyle w:val="ListBullet"/>
        <w:spacing w:after="60" w:line="360" w:lineRule="auto"/>
      </w:pPr>
      <w:r>
        <w:rPr>
          <w:rFonts w:ascii="Times New Roman" w:hAnsi="Times New Roman"/>
          <w:b/>
          <w:color w:val="000000"/>
          <w:sz w:val="24"/>
        </w:rPr>
        <w:t>Edge Deployment</w:t>
      </w:r>
      <w:r>
        <w:rPr>
          <w:rFonts w:ascii="Times New Roman" w:hAnsi="Times New Roman"/>
          <w:b w:val="0"/>
          <w:color w:val="000000"/>
          <w:sz w:val="24"/>
        </w:rPr>
        <w:t>: The system utilizes a single fixed monitoring node installed at a representative location within the selected cultivation plot to capture microclimatic conditions surrounding the crop canopy.</w:t>
      </w:r>
    </w:p>
    <w:p>
      <w:pPr>
        <w:pStyle w:val="ListBullet"/>
        <w:spacing w:after="60" w:line="360" w:lineRule="auto"/>
      </w:pPr>
      <w:r>
        <w:rPr>
          <w:rFonts w:ascii="Times New Roman" w:hAnsi="Times New Roman"/>
          <w:b/>
          <w:color w:val="000000"/>
          <w:sz w:val="24"/>
        </w:rPr>
        <w:t>Power Resilience</w:t>
      </w:r>
      <w:r>
        <w:rPr>
          <w:rFonts w:ascii="Times New Roman" w:hAnsi="Times New Roman"/>
          <w:b w:val="0"/>
          <w:color w:val="000000"/>
          <w:sz w:val="24"/>
        </w:rPr>
        <w:t>: Integration of a solar-assisted power subsystem and rechargeable battery to support continuous 24/7 outdoor operation.</w:t>
      </w:r>
    </w:p>
    <w:p>
      <w:pPr>
        <w:pStyle w:val="ListBullet"/>
        <w:spacing w:after="60" w:line="360" w:lineRule="auto"/>
      </w:pPr>
      <w:r>
        <w:rPr>
          <w:rFonts w:ascii="Times New Roman" w:hAnsi="Times New Roman"/>
          <w:b/>
          <w:color w:val="000000"/>
          <w:sz w:val="24"/>
        </w:rPr>
        <w:t>Offline Data Logging &amp; Sync</w:t>
      </w:r>
      <w:r>
        <w:rPr>
          <w:rFonts w:ascii="Times New Roman" w:hAnsi="Times New Roman"/>
          <w:b w:val="0"/>
          <w:color w:val="000000"/>
          <w:sz w:val="24"/>
        </w:rPr>
        <w:t>: Local storage on an onboard memory card during network interruptions, with automatic batch synchronization once internet connectivity is restored.</w:t>
      </w:r>
    </w:p>
    <w:p>
      <w:pPr>
        <w:pStyle w:val="ListBullet"/>
        <w:spacing w:after="60" w:line="360" w:lineRule="auto"/>
      </w:pPr>
      <w:r>
        <w:rPr>
          <w:rFonts w:ascii="Times New Roman" w:hAnsi="Times New Roman"/>
          <w:b/>
          <w:color w:val="000000"/>
          <w:sz w:val="24"/>
        </w:rPr>
        <w:t>Rule-Based Disease-Risk Assessment</w:t>
      </w:r>
      <w:r>
        <w:rPr>
          <w:rFonts w:ascii="Times New Roman" w:hAnsi="Times New Roman"/>
          <w:b w:val="0"/>
          <w:color w:val="000000"/>
          <w:sz w:val="24"/>
        </w:rPr>
        <w:t>: Evaluation of collected sensor readings against literature-supported environmental threshold models to determine current disease risk levels (Low, Moderate, High).</w:t>
      </w:r>
    </w:p>
    <w:p>
      <w:pPr>
        <w:pStyle w:val="ListBullet"/>
        <w:spacing w:after="60" w:line="360" w:lineRule="auto"/>
      </w:pPr>
      <w:r>
        <w:rPr>
          <w:rFonts w:ascii="Times New Roman" w:hAnsi="Times New Roman"/>
          <w:b/>
          <w:color w:val="000000"/>
          <w:sz w:val="24"/>
        </w:rPr>
        <w:t>Cloud Backend &amp; Database</w:t>
      </w:r>
      <w:r>
        <w:rPr>
          <w:rFonts w:ascii="Times New Roman" w:hAnsi="Times New Roman"/>
          <w:b w:val="0"/>
          <w:color w:val="000000"/>
          <w:sz w:val="24"/>
        </w:rPr>
        <w:t>: Centralized storage and management of historical environmental records.</w:t>
      </w:r>
    </w:p>
    <w:p>
      <w:pPr>
        <w:pStyle w:val="ListBullet"/>
        <w:spacing w:after="60" w:line="360" w:lineRule="auto"/>
      </w:pPr>
      <w:r>
        <w:rPr>
          <w:rFonts w:ascii="Times New Roman" w:hAnsi="Times New Roman"/>
          <w:b/>
          <w:color w:val="000000"/>
          <w:sz w:val="24"/>
        </w:rPr>
        <w:t>Web-Based Dashboard</w:t>
      </w:r>
      <w:r>
        <w:rPr>
          <w:rFonts w:ascii="Times New Roman" w:hAnsi="Times New Roman"/>
          <w:b w:val="0"/>
          <w:color w:val="000000"/>
          <w:sz w:val="24"/>
        </w:rPr>
        <w:t>: Real-time monitoring displays, historical trend visualizations, device status tracking, and early warning notifications.</w:t>
      </w:r>
    </w:p>
    <w:p>
      <w:pPr>
        <w:pStyle w:val="ListBullet"/>
        <w:spacing w:after="60" w:line="360" w:lineRule="auto"/>
      </w:pPr>
      <w:r>
        <w:rPr>
          <w:rFonts w:ascii="Times New Roman" w:hAnsi="Times New Roman"/>
          <w:b/>
          <w:color w:val="000000"/>
          <w:sz w:val="24"/>
        </w:rPr>
        <w:t>User Authentication</w:t>
      </w:r>
      <w:r>
        <w:rPr>
          <w:rFonts w:ascii="Times New Roman" w:hAnsi="Times New Roman"/>
          <w:b w:val="0"/>
          <w:color w:val="000000"/>
          <w:sz w:val="24"/>
        </w:rPr>
        <w:t>: Role-based access control to secure system data and administrative functions.</w:t>
      </w:r>
    </w:p>
    <w:p>
      <w:pPr>
        <w:pStyle w:val="ListBullet"/>
        <w:spacing w:after="60" w:line="360" w:lineRule="auto"/>
      </w:pPr>
      <w:r>
        <w:rPr>
          <w:rFonts w:ascii="Times New Roman" w:hAnsi="Times New Roman"/>
          <w:b/>
          <w:color w:val="000000"/>
          <w:sz w:val="24"/>
        </w:rPr>
        <w:t>System Evaluation</w:t>
      </w:r>
      <w:r>
        <w:rPr>
          <w:rFonts w:ascii="Times New Roman" w:hAnsi="Times New Roman"/>
          <w:b w:val="0"/>
          <w:color w:val="000000"/>
          <w:sz w:val="24"/>
        </w:rPr>
        <w:t>: Technical verification of sensor accuracy, communication range, power autonomy, and software quality evaluation based on ISO/IEC 25010 (functional suitability, performance efficiency, reliability, usability via the System Usability Scale).</w:t>
      </w:r>
    </w:p>
    <w:p>
      <w:pPr>
        <w:keepNext/>
        <w:spacing w:before="200" w:after="80"/>
        <w:jc w:val="left"/>
      </w:pPr>
      <w:r>
        <w:rPr>
          <w:rFonts w:ascii="Times New Roman" w:hAnsi="Times New Roman"/>
          <w:b/>
          <w:sz w:val="24"/>
        </w:rPr>
        <w:t>Delimitations</w:t>
      </w:r>
    </w:p>
    <w:p>
      <w:pPr>
        <w:spacing w:before="0" w:after="120" w:line="360" w:lineRule="auto"/>
        <w:ind w:firstLine="720"/>
        <w:jc w:val="both"/>
      </w:pPr>
      <w:r>
        <w:rPr>
          <w:rFonts w:ascii="Times New Roman" w:hAnsi="Times New Roman"/>
          <w:b w:val="0"/>
          <w:color w:val="000000"/>
          <w:sz w:val="24"/>
        </w:rPr>
        <w:t>The project is delimited to the following:</w:t>
      </w:r>
    </w:p>
    <w:p>
      <w:pPr>
        <w:pStyle w:val="ListBullet"/>
        <w:spacing w:after="60" w:line="360" w:lineRule="auto"/>
      </w:pPr>
      <w:r>
        <w:rPr>
          <w:rFonts w:ascii="Times New Roman" w:hAnsi="Times New Roman"/>
          <w:b/>
          <w:color w:val="000000"/>
          <w:sz w:val="24"/>
        </w:rPr>
        <w:t>Environmental Risk Assessment vs. Direct Biological Diagnosis</w:t>
      </w:r>
      <w:r>
        <w:rPr>
          <w:rFonts w:ascii="Times New Roman" w:hAnsi="Times New Roman"/>
          <w:b w:val="0"/>
          <w:color w:val="000000"/>
          <w:sz w:val="24"/>
        </w:rPr>
        <w:t>: The proposed system is designed to evaluate microclimatic favorability (disease risk) based on physical environmental thresholds. It does not perform biological pathogen detection, DNA/PCR analysis, optical leaf spectroscopy, or image-based visual disease diagnosis. A high-risk notification indicates that physical field conditions are conducive to pathogen development, not a confirmed laboratory diagnosis of pathogen presence.</w:t>
      </w:r>
    </w:p>
    <w:p>
      <w:pPr>
        <w:pStyle w:val="ListBullet"/>
        <w:spacing w:after="60" w:line="360" w:lineRule="auto"/>
      </w:pPr>
      <w:r>
        <w:rPr>
          <w:rFonts w:ascii="Times New Roman" w:hAnsi="Times New Roman"/>
          <w:b/>
          <w:color w:val="000000"/>
          <w:sz w:val="24"/>
        </w:rPr>
        <w:t>Pathologies Covered</w:t>
      </w:r>
      <w:r>
        <w:rPr>
          <w:rFonts w:ascii="Times New Roman" w:hAnsi="Times New Roman"/>
          <w:b w:val="0"/>
          <w:color w:val="000000"/>
          <w:sz w:val="24"/>
        </w:rPr>
        <w:t>: The disease-risk assessment is strictly delimited to Late Blight and Bacterial Wilt. Other crop diseases affecting Solanaceae crops (e.g., viral infections, fungal anthracnose, root-knot nematodes) are excluded from the risk engine.</w:t>
      </w:r>
    </w:p>
    <w:p>
      <w:pPr>
        <w:pStyle w:val="ListBullet"/>
        <w:spacing w:after="60" w:line="360" w:lineRule="auto"/>
      </w:pPr>
      <w:r>
        <w:rPr>
          <w:rFonts w:ascii="Times New Roman" w:hAnsi="Times New Roman"/>
          <w:b/>
          <w:color w:val="000000"/>
          <w:sz w:val="24"/>
        </w:rPr>
        <w:t>Cultivation Method</w:t>
      </w:r>
      <w:r>
        <w:rPr>
          <w:rFonts w:ascii="Times New Roman" w:hAnsi="Times New Roman"/>
          <w:b w:val="0"/>
          <w:color w:val="000000"/>
          <w:sz w:val="24"/>
        </w:rPr>
        <w:t>: The system is intended only for soil-grown crops under open-field or screenhouse conditions. Hydroponic, aquaponic, and soilless cultivation media are beyond the scope of this study.</w:t>
      </w:r>
    </w:p>
    <w:p>
      <w:pPr>
        <w:pStyle w:val="ListBullet"/>
        <w:spacing w:after="60" w:line="360" w:lineRule="auto"/>
      </w:pPr>
      <w:r>
        <w:rPr>
          <w:rFonts w:ascii="Times New Roman" w:hAnsi="Times New Roman"/>
          <w:b/>
          <w:color w:val="000000"/>
          <w:sz w:val="24"/>
        </w:rPr>
        <w:t>Monitoring Node Deployment</w:t>
      </w:r>
      <w:r>
        <w:rPr>
          <w:rFonts w:ascii="Times New Roman" w:hAnsi="Times New Roman"/>
          <w:b w:val="0"/>
          <w:color w:val="000000"/>
          <w:sz w:val="24"/>
        </w:rPr>
        <w:t>: The prototype consists of a single stationary sensing node. Mobile rovers, automated ground vehicles, drone-based aerial sensing, and multi-node mesh networks are not included.</w:t>
      </w:r>
    </w:p>
    <w:p>
      <w:pPr>
        <w:pStyle w:val="ListBullet"/>
        <w:spacing w:after="60" w:line="360" w:lineRule="auto"/>
      </w:pPr>
      <w:r>
        <w:rPr>
          <w:rFonts w:ascii="Times New Roman" w:hAnsi="Times New Roman"/>
          <w:b/>
          <w:color w:val="000000"/>
          <w:sz w:val="24"/>
        </w:rPr>
        <w:t>Wireless Communication</w:t>
      </w:r>
      <w:r>
        <w:rPr>
          <w:rFonts w:ascii="Times New Roman" w:hAnsi="Times New Roman"/>
          <w:b w:val="0"/>
          <w:color w:val="000000"/>
          <w:sz w:val="24"/>
        </w:rPr>
        <w:t>: Wireless transmission is delimited to local Wi-Fi connectivity between the node and local gateway/access point. Cellular GSM/4G/5G modems and satellite transceivers are excluded.</w:t>
      </w:r>
    </w:p>
    <w:p>
      <w:pPr>
        <w:pStyle w:val="ListBullet"/>
        <w:spacing w:after="60" w:line="360" w:lineRule="auto"/>
      </w:pPr>
      <w:r>
        <w:rPr>
          <w:rFonts w:ascii="Times New Roman" w:hAnsi="Times New Roman"/>
          <w:b/>
          <w:color w:val="000000"/>
          <w:sz w:val="24"/>
        </w:rPr>
        <w:t>Actuation and Remediation</w:t>
      </w:r>
      <w:r>
        <w:rPr>
          <w:rFonts w:ascii="Times New Roman" w:hAnsi="Times New Roman"/>
          <w:b w:val="0"/>
          <w:color w:val="000000"/>
          <w:sz w:val="24"/>
        </w:rPr>
        <w:t>: The system functions strictly as an early warning and decision-support tool. It does not include automated actuation mechanisms, such as automated pesticide sprayers or motorized irrigation valves.</w:t>
      </w:r>
    </w:p>
    <w:p>
      <w:pPr>
        <w:pStyle w:val="ListBullet"/>
        <w:spacing w:after="60" w:line="360" w:lineRule="auto"/>
      </w:pPr>
      <w:r>
        <w:rPr>
          <w:rFonts w:ascii="Times New Roman" w:hAnsi="Times New Roman"/>
          <w:b/>
          <w:color w:val="000000"/>
          <w:sz w:val="24"/>
        </w:rPr>
        <w:t>Long-Term Agronomic Studies</w:t>
      </w:r>
      <w:r>
        <w:rPr>
          <w:rFonts w:ascii="Times New Roman" w:hAnsi="Times New Roman"/>
          <w:b w:val="0"/>
          <w:color w:val="000000"/>
          <w:sz w:val="24"/>
        </w:rPr>
        <w:t>: System evaluation is conducted during scheduled field testing cycles to validate system reliability and usability. Long-term multi-season studies on crop yield gains, longitudinal economic returns, or aggregate pesticide reduction rates across multi-year cycles are beyond the scope of this capstone project.</w:t>
      </w:r>
    </w:p>
    <w:p>
      <w:pPr>
        <w:keepNext/>
        <w:spacing w:before="200" w:after="80"/>
        <w:jc w:val="left"/>
      </w:pPr>
      <w:r>
        <w:rPr>
          <w:rFonts w:ascii="Times New Roman" w:hAnsi="Times New Roman"/>
          <w:b/>
          <w:sz w:val="24"/>
        </w:rPr>
        <w:t>Summary of Project Scope</w:t>
      </w:r>
    </w:p>
    <w:p>
      <w:pPr>
        <w:keepNext/>
        <w:spacing w:before="240" w:after="80"/>
        <w:jc w:val="left"/>
      </w:pPr>
      <w:r>
        <w:rPr>
          <w:rFonts w:ascii="Times New Roman" w:hAnsi="Times New Roman"/>
          <w:b/>
          <w:color w:val="000000"/>
          <w:sz w:val="24"/>
        </w:rPr>
        <w:t>Table 1: Summary of Project Scope (In-Scope vs. Out-of-Scope)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EAEAEA"/>
            <w:tcMar>
              <w:top w:w="80" w:type="dxa"/>
              <w:bottom w:w="80" w:type="dxa"/>
              <w:left w:w="120" w:type="dxa"/>
              <w:right w:w="120" w:type="dxa"/>
            </w:tcMar>
          </w:tcPr>
          <w:p>
            <w:pPr>
              <w:spacing w:before="60" w:after="60" w:line="276" w:lineRule="auto"/>
              <w:jc w:val="left"/>
            </w:pPr>
            <w:r>
              <w:rPr>
                <w:rFonts w:ascii="Times New Roman" w:hAnsi="Times New Roman"/>
                <w:b/>
                <w:color w:val="000000"/>
              </w:rPr>
            </w:r>
            <w:r>
              <w:rPr>
                <w:rFonts w:ascii="Times New Roman" w:hAnsi="Times New Roman"/>
                <w:b/>
                <w:color w:val="000000"/>
                <w:sz w:val="23"/>
              </w:rPr>
              <w:t>Category</w:t>
            </w:r>
          </w:p>
        </w:tc>
        <w:tc>
          <w:tcPr>
            <w:tcW w:type="dxa" w:w="3120"/>
            <w:shd w:fill="EAEAEA"/>
            <w:tcMar>
              <w:top w:w="80" w:type="dxa"/>
              <w:bottom w:w="80" w:type="dxa"/>
              <w:left w:w="120" w:type="dxa"/>
              <w:right w:w="120" w:type="dxa"/>
            </w:tcMar>
          </w:tcPr>
          <w:p>
            <w:pPr>
              <w:spacing w:before="60" w:after="60" w:line="276" w:lineRule="auto"/>
              <w:jc w:val="left"/>
            </w:pPr>
            <w:r>
              <w:rPr>
                <w:rFonts w:ascii="Times New Roman" w:hAnsi="Times New Roman"/>
                <w:b/>
                <w:color w:val="000000"/>
              </w:rPr>
            </w:r>
            <w:r>
              <w:rPr>
                <w:rFonts w:ascii="Times New Roman" w:hAnsi="Times New Roman"/>
                <w:b/>
                <w:color w:val="000000"/>
                <w:sz w:val="23"/>
              </w:rPr>
              <w:t>In-Scope</w:t>
            </w:r>
          </w:p>
        </w:tc>
        <w:tc>
          <w:tcPr>
            <w:tcW w:type="dxa" w:w="3120"/>
            <w:shd w:fill="EAEAEA"/>
            <w:tcMar>
              <w:top w:w="80" w:type="dxa"/>
              <w:bottom w:w="80" w:type="dxa"/>
              <w:left w:w="120" w:type="dxa"/>
              <w:right w:w="120" w:type="dxa"/>
            </w:tcMar>
          </w:tcPr>
          <w:p>
            <w:pPr>
              <w:spacing w:before="60" w:after="60" w:line="276" w:lineRule="auto"/>
              <w:jc w:val="left"/>
            </w:pPr>
            <w:r>
              <w:rPr>
                <w:rFonts w:ascii="Times New Roman" w:hAnsi="Times New Roman"/>
                <w:b/>
                <w:color w:val="000000"/>
              </w:rPr>
            </w:r>
            <w:r>
              <w:rPr>
                <w:rFonts w:ascii="Times New Roman" w:hAnsi="Times New Roman"/>
                <w:b/>
                <w:color w:val="000000"/>
                <w:sz w:val="23"/>
              </w:rPr>
              <w:t>Out-of-Scope</w:t>
            </w:r>
          </w:p>
        </w:tc>
      </w:tr>
      <w:tr>
        <w:tc>
          <w:tcPr>
            <w:tcW w:type="dxa" w:w="312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color w:val="000000"/>
                <w:sz w:val="23"/>
              </w:rPr>
              <w:t>Target Pathologies</w:t>
            </w:r>
          </w:p>
        </w:tc>
        <w:tc>
          <w:tcPr>
            <w:tcW w:type="dxa" w:w="312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3"/>
              </w:rPr>
              <w:t>Microclimatic risk assessment for Late Blight (</w:t>
            </w:r>
            <w:r>
              <w:rPr>
                <w:rFonts w:ascii="Times New Roman" w:hAnsi="Times New Roman"/>
                <w:i/>
                <w:color w:val="000000"/>
                <w:sz w:val="23"/>
              </w:rPr>
              <w:t>P. infestans</w:t>
            </w:r>
            <w:r>
              <w:rPr>
                <w:rFonts w:ascii="Times New Roman" w:hAnsi="Times New Roman"/>
                <w:b w:val="0"/>
                <w:color w:val="000000"/>
                <w:sz w:val="23"/>
              </w:rPr>
              <w:t>) and Bacterial Wilt (</w:t>
            </w:r>
            <w:r>
              <w:rPr>
                <w:rFonts w:ascii="Times New Roman" w:hAnsi="Times New Roman"/>
                <w:i/>
                <w:color w:val="000000"/>
                <w:sz w:val="23"/>
              </w:rPr>
              <w:t>R. pseudosolanacearum</w:t>
            </w:r>
            <w:r>
              <w:rPr>
                <w:rFonts w:ascii="Times New Roman" w:hAnsi="Times New Roman"/>
                <w:b w:val="0"/>
                <w:color w:val="000000"/>
                <w:sz w:val="23"/>
              </w:rPr>
              <w:t>).</w:t>
            </w:r>
          </w:p>
        </w:tc>
        <w:tc>
          <w:tcPr>
            <w:tcW w:type="dxa" w:w="312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3"/>
              </w:rPr>
              <w:t>Direct biological diagnosis, PCR assays, image classification, or other crop diseases.</w:t>
            </w:r>
          </w:p>
        </w:tc>
      </w:tr>
      <w:tr>
        <w:tc>
          <w:tcPr>
            <w:tcW w:type="dxa" w:w="312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color w:val="000000"/>
                <w:sz w:val="23"/>
              </w:rPr>
              <w:t>Target Crops</w:t>
            </w:r>
          </w:p>
        </w:tc>
        <w:tc>
          <w:tcPr>
            <w:tcW w:type="dxa" w:w="312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3"/>
              </w:rPr>
              <w:t>Soil-grown Solanaceae crops: Tomato, Eggplant, Pepper, and Potato.</w:t>
            </w:r>
          </w:p>
        </w:tc>
        <w:tc>
          <w:tcPr>
            <w:tcW w:type="dxa" w:w="312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3"/>
              </w:rPr>
              <w:t>Non-Solanaceae crops, hydroponics, aquaponics, or soilless cultivation.</w:t>
            </w:r>
          </w:p>
        </w:tc>
      </w:tr>
      <w:tr>
        <w:tc>
          <w:tcPr>
            <w:tcW w:type="dxa" w:w="312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color w:val="000000"/>
                <w:sz w:val="23"/>
              </w:rPr>
              <w:t>Monitored Parameters</w:t>
            </w:r>
          </w:p>
        </w:tc>
        <w:tc>
          <w:tcPr>
            <w:tcW w:type="dxa" w:w="312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3"/>
              </w:rPr>
              <w:t>Air temperature, relative humidity, leaf wetness duration, soil temperature, and soil moisture.</w:t>
            </w:r>
          </w:p>
        </w:tc>
        <w:tc>
          <w:tcPr>
            <w:tcW w:type="dxa" w:w="312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3"/>
              </w:rPr>
              <w:t>Soil NPK chemical nutrient sensing, soil pH, solar irradiance flux (W/m²), or wind speed.</w:t>
            </w:r>
          </w:p>
        </w:tc>
      </w:tr>
      <w:tr>
        <w:tc>
          <w:tcPr>
            <w:tcW w:type="dxa" w:w="312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color w:val="000000"/>
                <w:sz w:val="23"/>
              </w:rPr>
              <w:t>Node Architecture</w:t>
            </w:r>
          </w:p>
        </w:tc>
        <w:tc>
          <w:tcPr>
            <w:tcW w:type="dxa" w:w="312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3"/>
              </w:rPr>
              <w:t>Single stationary edge node installed at a representative field location.</w:t>
            </w:r>
          </w:p>
        </w:tc>
        <w:tc>
          <w:tcPr>
            <w:tcW w:type="dxa" w:w="312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3"/>
              </w:rPr>
              <w:t>Mobile robotic rovers, autonomous ground vehicles, or drone-based aerial sensing.</w:t>
            </w:r>
          </w:p>
        </w:tc>
      </w:tr>
      <w:tr>
        <w:tc>
          <w:tcPr>
            <w:tcW w:type="dxa" w:w="312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color w:val="000000"/>
                <w:sz w:val="23"/>
              </w:rPr>
              <w:t>Power Infrastructure</w:t>
            </w:r>
          </w:p>
        </w:tc>
        <w:tc>
          <w:tcPr>
            <w:tcW w:type="dxa" w:w="312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3"/>
              </w:rPr>
              <w:t>Solar-assisted power system with rechargeable battery for continuous 24/7 operation.</w:t>
            </w:r>
          </w:p>
        </w:tc>
        <w:tc>
          <w:tcPr>
            <w:tcW w:type="dxa" w:w="312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3"/>
              </w:rPr>
              <w:t>Sole reliance on grid power or unverified single-cell battery configurations.</w:t>
            </w:r>
          </w:p>
        </w:tc>
      </w:tr>
      <w:tr>
        <w:tc>
          <w:tcPr>
            <w:tcW w:type="dxa" w:w="312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color w:val="000000"/>
                <w:sz w:val="23"/>
              </w:rPr>
              <w:t>Data Integrity &amp; Sync</w:t>
            </w:r>
          </w:p>
        </w:tc>
        <w:tc>
          <w:tcPr>
            <w:tcW w:type="dxa" w:w="312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3"/>
              </w:rPr>
              <w:t>Local offline data buffering with automatic, duplicate-free cloud synchronization.</w:t>
            </w:r>
          </w:p>
        </w:tc>
        <w:tc>
          <w:tcPr>
            <w:tcW w:type="dxa" w:w="312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3"/>
              </w:rPr>
              <w:t>Unbuffered live-only transmission or cellular direct uplinks.</w:t>
            </w:r>
          </w:p>
        </w:tc>
      </w:tr>
      <w:tr>
        <w:tc>
          <w:tcPr>
            <w:tcW w:type="dxa" w:w="312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color w:val="000000"/>
                <w:sz w:val="23"/>
              </w:rPr>
              <w:t>Communication</w:t>
            </w:r>
          </w:p>
        </w:tc>
        <w:tc>
          <w:tcPr>
            <w:tcW w:type="dxa" w:w="312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3"/>
              </w:rPr>
              <w:t>2.4 GHz Wi-Fi wireless transmission with experimental range verification.</w:t>
            </w:r>
          </w:p>
        </w:tc>
        <w:tc>
          <w:tcPr>
            <w:tcW w:type="dxa" w:w="312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3"/>
              </w:rPr>
              <w:t>LoRaWAN private gateways, Zigbee mesh, or satellite communication.</w:t>
            </w:r>
          </w:p>
        </w:tc>
      </w:tr>
      <w:tr>
        <w:tc>
          <w:tcPr>
            <w:tcW w:type="dxa" w:w="312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color w:val="000000"/>
                <w:sz w:val="23"/>
              </w:rPr>
              <w:t>User Platform</w:t>
            </w:r>
          </w:p>
        </w:tc>
        <w:tc>
          <w:tcPr>
            <w:tcW w:type="dxa" w:w="312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3"/>
              </w:rPr>
              <w:t>Responsive web-based monitoring dashboard with role-based access control.</w:t>
            </w:r>
          </w:p>
        </w:tc>
        <w:tc>
          <w:tcPr>
            <w:tcW w:type="dxa" w:w="312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3"/>
              </w:rPr>
              <w:t>Native mobile applications (iOS/Android APKs) or desktop-only software.</w:t>
            </w:r>
          </w:p>
        </w:tc>
      </w:tr>
      <w:tr>
        <w:tc>
          <w:tcPr>
            <w:tcW w:type="dxa" w:w="312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color w:val="000000"/>
                <w:sz w:val="23"/>
              </w:rPr>
              <w:t>System Output</w:t>
            </w:r>
          </w:p>
        </w:tc>
        <w:tc>
          <w:tcPr>
            <w:tcW w:type="dxa" w:w="312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3"/>
              </w:rPr>
              <w:t>Real-time sensor readings, historical charts, color-coded risk alerts, and preventive recommendations.</w:t>
            </w:r>
          </w:p>
        </w:tc>
        <w:tc>
          <w:tcPr>
            <w:tcW w:type="dxa" w:w="312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3"/>
              </w:rPr>
              <w:t>Automated pesticide spraying or motorized valve irrigation actuation.</w:t>
            </w:r>
          </w:p>
        </w:tc>
      </w:tr>
      <w:tr>
        <w:tc>
          <w:tcPr>
            <w:tcW w:type="dxa" w:w="312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color w:val="000000"/>
                <w:sz w:val="23"/>
              </w:rPr>
              <w:t>Evaluation Framework</w:t>
            </w:r>
          </w:p>
        </w:tc>
        <w:tc>
          <w:tcPr>
            <w:tcW w:type="dxa" w:w="312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3"/>
              </w:rPr>
              <w:t>Sensor calibration verification, power autonomy testing, and ISO/IEC 25010 software quality evaluation.</w:t>
            </w:r>
          </w:p>
        </w:tc>
        <w:tc>
          <w:tcPr>
            <w:tcW w:type="dxa" w:w="312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3"/>
              </w:rPr>
              <w:t>Multi-season agronomic yield studies or multi-year commercial field trials.</w:t>
            </w:r>
          </w:p>
        </w:tc>
      </w:tr>
    </w:tbl>
    <w:p>
      <w:pPr>
        <w:spacing w:after="120"/>
      </w:pPr>
    </w:p>
    <w:p>
      <w:pPr>
        <w:keepNext/>
        <w:spacing w:before="360" w:after="160"/>
        <w:jc w:val="center"/>
      </w:pPr>
      <w:r>
        <w:rPr>
          <w:rFonts w:ascii="Times New Roman" w:hAnsi="Times New Roman"/>
          <w:b/>
          <w:sz w:val="28"/>
        </w:rPr>
        <w:t>Chapter 2: Review of Related Literature, Studies, and Systems</w:t>
      </w:r>
    </w:p>
    <w:p>
      <w:pPr>
        <w:spacing w:before="0" w:after="120" w:line="360" w:lineRule="auto"/>
        <w:ind w:firstLine="720"/>
        <w:jc w:val="both"/>
      </w:pPr>
      <w:r>
        <w:rPr>
          <w:rFonts w:ascii="Times New Roman" w:hAnsi="Times New Roman"/>
          <w:b w:val="0"/>
          <w:color w:val="000000"/>
          <w:sz w:val="24"/>
        </w:rPr>
        <w:t>Agriculture continues to play an important role in food production and livelihood, but crop production remains affected by environmental changes and plant diseases that can reduce both yield and quality. Because of this, recent studies have increasingly explored the use of digital technologies and Internet of Things (IoT) systems to assist farmers in monitoring crop conditions (Ndjuluwa et al., 2023; Yesankar et al., 2024). These systems allow environmental information to be collected continuously through sensors and transmitted to users through wireless networks or cloud-based platforms. Instead of relying entirely on manual observation, IoT-based agricultural systems can provide farmers with more frequent information about the conditions surrounding their crops, which may support earlier and more informed management decisions (Suryadevara et al., 2022).</w:t>
      </w:r>
    </w:p>
    <w:p>
      <w:pPr>
        <w:spacing w:before="0" w:after="120" w:line="360" w:lineRule="auto"/>
        <w:ind w:firstLine="720"/>
        <w:jc w:val="both"/>
      </w:pPr>
      <w:r>
        <w:rPr>
          <w:rFonts w:ascii="Times New Roman" w:hAnsi="Times New Roman"/>
          <w:b w:val="0"/>
          <w:color w:val="000000"/>
          <w:sz w:val="24"/>
        </w:rPr>
        <w:t>This approach is particularly relevant to Solanaceae crops such as tomatoes, eggplants, peppers, and potatoes because these crops are affected by several diseases whose development is influenced by environmental conditions (Aquino et al., 2024; Aubriot &amp; Knapp, 2022). Among these diseases are Late Blight and Bacterial Wilt, which can cause significant damage to crops when conditions become favorable for their development (Aumentado &amp; Balendres, 2024; Subedi et al., 2024). Previous studies have therefore investigated not only the pathogens themselves but also the environmental conditions associated with disease occurrence. This provides a basis for developing monitoring systems that observe environmental conditions as an early indication of possible disease risk rather than waiting until visible symptoms have already developed.</w:t>
      </w:r>
    </w:p>
    <w:p>
      <w:pPr>
        <w:keepNext/>
        <w:spacing w:before="280" w:after="120"/>
        <w:jc w:val="left"/>
      </w:pPr>
      <w:r>
        <w:rPr>
          <w:rFonts w:ascii="Times New Roman" w:hAnsi="Times New Roman"/>
          <w:b/>
          <w:sz w:val="26"/>
        </w:rPr>
        <w:t>2.1 Environmental Determinants of Solanaceae Diseases</w:t>
      </w:r>
    </w:p>
    <w:p>
      <w:pPr>
        <w:spacing w:before="0" w:after="120" w:line="360" w:lineRule="auto"/>
        <w:ind w:firstLine="720"/>
        <w:jc w:val="both"/>
      </w:pPr>
      <w:r>
        <w:rPr>
          <w:rFonts w:ascii="Times New Roman" w:hAnsi="Times New Roman"/>
          <w:b w:val="0"/>
          <w:color w:val="000000"/>
          <w:sz w:val="24"/>
        </w:rPr>
        <w:t xml:space="preserve">Late Blight, commonly associated with </w:t>
      </w:r>
      <w:r>
        <w:rPr>
          <w:rFonts w:ascii="Times New Roman" w:hAnsi="Times New Roman"/>
          <w:i/>
          <w:color w:val="000000"/>
          <w:sz w:val="24"/>
        </w:rPr>
        <w:t>Phytophthora infestans</w:t>
      </w:r>
      <w:r>
        <w:rPr>
          <w:rFonts w:ascii="Times New Roman" w:hAnsi="Times New Roman"/>
          <w:b w:val="0"/>
          <w:color w:val="000000"/>
          <w:sz w:val="24"/>
        </w:rPr>
        <w:t>, is one of the most destructive diseases affecting tomato and potato production worldwide (Mazumdar et al., 2021; University of Florida IFAS, n.d.). Research on the disease has shown that its development is strongly associated with environmental conditions involving temperature, relative humidity, and moisture on plant surfaces. The pathogen develops and sporulates rapidly under moderate temperatures (12°C to 22°C) combined with high relative humidity (≥ 90%). Furthermore, leaf wetness duration (LWD) is recognized as a crucial factor, as free water on leaf surfaces is required for sporangia to germinate and infect plant tissues (Boulton et al., 2023). Established disease forecasting models, such as Wallin’s Severity Values (SV) and BLITECAST, demonstrate that prolonged leaf wetness (≥ 10 continuous hours) within permissive temperature ranges significantly increases infection risk (Boulton et al., 2023; Tao et al., 2024). Because environmental conditions can become favorable before visible lesions appear, monitoring variables such as temperature, humidity, and leaf wetness provides valuable data for early risk warning.</w:t>
      </w:r>
    </w:p>
    <w:p>
      <w:pPr>
        <w:spacing w:before="0" w:after="120" w:line="360" w:lineRule="auto"/>
        <w:ind w:firstLine="720"/>
        <w:jc w:val="both"/>
      </w:pPr>
      <w:r>
        <w:rPr>
          <w:rFonts w:ascii="Times New Roman" w:hAnsi="Times New Roman"/>
          <w:b w:val="0"/>
          <w:color w:val="000000"/>
          <w:sz w:val="24"/>
        </w:rPr>
        <w:t xml:space="preserve">Bacterial Wilt presents a different but related concern because it is associated with soilborne pathogens that affect the vascular system of plants. The disease is caused by </w:t>
      </w:r>
      <w:r>
        <w:rPr>
          <w:rFonts w:ascii="Times New Roman" w:hAnsi="Times New Roman"/>
          <w:i/>
          <w:color w:val="000000"/>
          <w:sz w:val="24"/>
        </w:rPr>
        <w:t>Ralstonia pseudosolanacearum</w:t>
      </w:r>
      <w:r>
        <w:rPr>
          <w:rFonts w:ascii="Times New Roman" w:hAnsi="Times New Roman"/>
          <w:b w:val="0"/>
          <w:color w:val="000000"/>
          <w:sz w:val="24"/>
        </w:rPr>
        <w:t xml:space="preserve"> (and related strains within the </w:t>
      </w:r>
      <w:r>
        <w:rPr>
          <w:rFonts w:ascii="Times New Roman" w:hAnsi="Times New Roman"/>
          <w:i/>
          <w:color w:val="000000"/>
          <w:sz w:val="24"/>
        </w:rPr>
        <w:t>Ralstonia solanacearum</w:t>
      </w:r>
      <w:r>
        <w:rPr>
          <w:rFonts w:ascii="Times New Roman" w:hAnsi="Times New Roman"/>
          <w:b w:val="0"/>
          <w:color w:val="000000"/>
          <w:sz w:val="24"/>
        </w:rPr>
        <w:t xml:space="preserve"> species complex), which affects tomatoes, eggplants, and peppers in tropical and subtropical regions (Silva et al., 2024; Subedi et al., 2024). Studies concerning bacterial wilt have examined the relationship between disease occurrence and soil conditions. Jiang et al. (2021), for example, investigated bacterial wilt in tomato fields using soil samples from different locations and found that soil moisture was an important predictor of bacterial wilt occurrence. Their study further demonstrated through greenhouse experiments that excessive soil moisture (≥ 75% field capacity or saturated soil) facilitates bacterial motility and root invasion. Concurrently, warm soil temperatures between 28°C and 35°C accelerate bacterial multiplication within the host vascular bundles, leading to rapid wilting (Silva et al., 2024). These findings provide a strong research-based reason for monitoring both soil temperature and soil moisture rather than treating them only as general agricultural parameters.</w:t>
      </w:r>
    </w:p>
    <w:p>
      <w:pPr>
        <w:spacing w:before="0" w:after="120" w:line="360" w:lineRule="auto"/>
        <w:ind w:firstLine="720"/>
        <w:jc w:val="both"/>
      </w:pPr>
      <w:r>
        <w:rPr>
          <w:rFonts w:ascii="Times New Roman" w:hAnsi="Times New Roman"/>
          <w:b w:val="0"/>
          <w:color w:val="000000"/>
          <w:sz w:val="24"/>
        </w:rPr>
        <w:t>The findings from these disease-related studies also show why using only one environmental parameter is insufficient for an agricultural early warning system. Temperature, relative humidity, leaf wetness, soil temperature, and soil moisture describe different aspects of the environment surrounding the crop. A field may have high atmospheric humidity without necessarily having the same amount of moisture on the leaf surface, while soil conditions may differ from conditions measured above the crop. Monitoring several parameters therefore provides a more complete representation of the local conditions in which crops are growing. For this reason, SolanaWatch combines multiple canopy and root-zone environmental measurements rather than relying on a single sensor to determine disease risk.</w:t>
      </w:r>
    </w:p>
    <w:p>
      <w:pPr>
        <w:keepNext/>
        <w:spacing w:before="280" w:after="120"/>
        <w:jc w:val="left"/>
      </w:pPr>
      <w:r>
        <w:rPr>
          <w:rFonts w:ascii="Times New Roman" w:hAnsi="Times New Roman"/>
          <w:b/>
          <w:sz w:val="26"/>
        </w:rPr>
        <w:t>2.2 Embedded Microcontroller Platforms in Agricultural IoT</w:t>
      </w:r>
    </w:p>
    <w:p>
      <w:pPr>
        <w:spacing w:before="0" w:after="120" w:line="360" w:lineRule="auto"/>
        <w:ind w:firstLine="720"/>
        <w:jc w:val="both"/>
      </w:pPr>
      <w:r>
        <w:rPr>
          <w:rFonts w:ascii="Times New Roman" w:hAnsi="Times New Roman"/>
          <w:b w:val="0"/>
          <w:color w:val="000000"/>
          <w:sz w:val="24"/>
        </w:rPr>
        <w:t>Several agricultural IoT studies have demonstrated the feasibility of using multiple sensors together with a microcontroller to continuously collect environmental measurements (Idris et al., 2024; Suryadevara et al., 2022). In recent smart agriculture research, ESP32-based systems have been widely used to collect temperature, humidity, soil moisture, and other environmental information and transmit the measurements to remote platforms (Mohd Khalid et al., 2024). These studies demonstrate how a compact embedded device can function as the main controller of an agricultural monitoring system while connecting multiple sensors and communication services.</w:t>
      </w:r>
    </w:p>
    <w:p>
      <w:pPr>
        <w:spacing w:before="0" w:after="120" w:line="360" w:lineRule="auto"/>
        <w:ind w:firstLine="720"/>
        <w:jc w:val="both"/>
      </w:pPr>
      <w:r>
        <w:rPr>
          <w:rFonts w:ascii="Times New Roman" w:hAnsi="Times New Roman"/>
          <w:b w:val="0"/>
          <w:color w:val="000000"/>
          <w:sz w:val="24"/>
        </w:rPr>
        <w:t>Other computing platforms can also be considered for agricultural monitoring, making the selection of the main controller an important technical consideration. In particular, Arduino-based boards and the Raspberry Pi single-board computer are commonly compared in embedded IoT research (Didi &amp; El Azami, 2022). To justify the hardware selection for SolanaWatch, Table 2 provides a comparative analysis of ESP32, Arduino Leonardo, and Raspberry Pi:</w:t>
      </w:r>
    </w:p>
    <w:p>
      <w:pPr>
        <w:keepNext/>
        <w:spacing w:before="240" w:after="80"/>
        <w:jc w:val="left"/>
      </w:pPr>
      <w:r>
        <w:rPr>
          <w:rFonts w:ascii="Times New Roman" w:hAnsi="Times New Roman"/>
          <w:b/>
          <w:color w:val="000000"/>
          <w:sz w:val="24"/>
        </w:rPr>
        <w:t>Table 2: Comparative Analysis of Embedded Computing Platforms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EAEAEA"/>
            <w:tcMar>
              <w:top w:w="80" w:type="dxa"/>
              <w:bottom w:w="80" w:type="dxa"/>
              <w:left w:w="120" w:type="dxa"/>
              <w:right w:w="120" w:type="dxa"/>
            </w:tcMar>
          </w:tcPr>
          <w:p>
            <w:pPr>
              <w:spacing w:before="60" w:after="60" w:line="276" w:lineRule="auto"/>
              <w:jc w:val="left"/>
            </w:pPr>
            <w:r>
              <w:rPr>
                <w:rFonts w:ascii="Times New Roman" w:hAnsi="Times New Roman"/>
                <w:b/>
                <w:color w:val="000000"/>
              </w:rPr>
            </w:r>
            <w:r>
              <w:rPr>
                <w:rFonts w:ascii="Times New Roman" w:hAnsi="Times New Roman"/>
                <w:b/>
                <w:color w:val="000000"/>
                <w:sz w:val="21"/>
              </w:rPr>
              <w:t>Parameter</w:t>
            </w:r>
          </w:p>
        </w:tc>
        <w:tc>
          <w:tcPr>
            <w:tcW w:type="dxa" w:w="1872"/>
            <w:shd w:fill="EAEAEA"/>
            <w:tcMar>
              <w:top w:w="80" w:type="dxa"/>
              <w:bottom w:w="80" w:type="dxa"/>
              <w:left w:w="120" w:type="dxa"/>
              <w:right w:w="120" w:type="dxa"/>
            </w:tcMar>
          </w:tcPr>
          <w:p>
            <w:pPr>
              <w:spacing w:before="60" w:after="60" w:line="276" w:lineRule="auto"/>
              <w:jc w:val="left"/>
            </w:pPr>
            <w:r>
              <w:rPr>
                <w:rFonts w:ascii="Times New Roman" w:hAnsi="Times New Roman"/>
                <w:b/>
                <w:color w:val="000000"/>
              </w:rPr>
            </w:r>
            <w:r>
              <w:rPr>
                <w:rFonts w:ascii="Times New Roman" w:hAnsi="Times New Roman"/>
                <w:b/>
                <w:color w:val="000000"/>
                <w:sz w:val="21"/>
              </w:rPr>
              <w:t>Arduino Leonardo</w:t>
            </w:r>
          </w:p>
        </w:tc>
        <w:tc>
          <w:tcPr>
            <w:tcW w:type="dxa" w:w="1872"/>
            <w:shd w:fill="EAEAEA"/>
            <w:tcMar>
              <w:top w:w="80" w:type="dxa"/>
              <w:bottom w:w="80" w:type="dxa"/>
              <w:left w:w="120" w:type="dxa"/>
              <w:right w:w="120" w:type="dxa"/>
            </w:tcMar>
          </w:tcPr>
          <w:p>
            <w:pPr>
              <w:spacing w:before="60" w:after="60" w:line="276" w:lineRule="auto"/>
              <w:jc w:val="left"/>
            </w:pPr>
            <w:r>
              <w:rPr>
                <w:rFonts w:ascii="Times New Roman" w:hAnsi="Times New Roman"/>
                <w:b/>
                <w:color w:val="000000"/>
              </w:rPr>
            </w:r>
            <w:r>
              <w:rPr>
                <w:rFonts w:ascii="Times New Roman" w:hAnsi="Times New Roman"/>
                <w:b/>
                <w:color w:val="000000"/>
                <w:sz w:val="21"/>
              </w:rPr>
              <w:t>Raspberry Pi 4 Model B</w:t>
            </w:r>
          </w:p>
        </w:tc>
        <w:tc>
          <w:tcPr>
            <w:tcW w:type="dxa" w:w="1872"/>
            <w:shd w:fill="EAEAEA"/>
            <w:tcMar>
              <w:top w:w="80" w:type="dxa"/>
              <w:bottom w:w="80" w:type="dxa"/>
              <w:left w:w="120" w:type="dxa"/>
              <w:right w:w="120" w:type="dxa"/>
            </w:tcMar>
          </w:tcPr>
          <w:p>
            <w:pPr>
              <w:spacing w:before="60" w:after="60" w:line="276" w:lineRule="auto"/>
              <w:jc w:val="left"/>
            </w:pPr>
            <w:r>
              <w:rPr>
                <w:rFonts w:ascii="Times New Roman" w:hAnsi="Times New Roman"/>
                <w:b/>
                <w:color w:val="000000"/>
              </w:rPr>
            </w:r>
            <w:r>
              <w:rPr>
                <w:rFonts w:ascii="Times New Roman" w:hAnsi="Times New Roman"/>
                <w:b/>
                <w:color w:val="000000"/>
                <w:sz w:val="21"/>
              </w:rPr>
              <w:t>Espressif ESP32 DevKit V1</w:t>
            </w:r>
          </w:p>
        </w:tc>
        <w:tc>
          <w:tcPr>
            <w:tcW w:type="dxa" w:w="1872"/>
            <w:shd w:fill="EAEAEA"/>
            <w:tcMar>
              <w:top w:w="80" w:type="dxa"/>
              <w:bottom w:w="80" w:type="dxa"/>
              <w:left w:w="120" w:type="dxa"/>
              <w:right w:w="120" w:type="dxa"/>
            </w:tcMar>
          </w:tcPr>
          <w:p>
            <w:pPr>
              <w:spacing w:before="60" w:after="60" w:line="276" w:lineRule="auto"/>
              <w:jc w:val="left"/>
            </w:pPr>
            <w:r>
              <w:rPr>
                <w:rFonts w:ascii="Times New Roman" w:hAnsi="Times New Roman"/>
                <w:b/>
                <w:color w:val="000000"/>
              </w:rPr>
            </w:r>
            <w:r>
              <w:rPr>
                <w:rFonts w:ascii="Times New Roman" w:hAnsi="Times New Roman"/>
                <w:b/>
                <w:color w:val="000000"/>
                <w:sz w:val="21"/>
              </w:rPr>
              <w:t>Selection Justification for SolanaWatch</w:t>
            </w:r>
          </w:p>
        </w:tc>
      </w:tr>
      <w:tr>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color w:val="000000"/>
                <w:sz w:val="21"/>
              </w:rPr>
              <w:t>Architecture &amp; Clock</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8-bit AVR RISC @ 16 MHz</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64-bit Quad-Core ARM @ 1.5 GHz</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32-bit Dual-Core Xtensa @ 240 MHz</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ESP32 provides sufficient speed for real-time sensor reading and JSON formatting.</w:t>
            </w:r>
          </w:p>
        </w:tc>
      </w:tr>
      <w:tr>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color w:val="000000"/>
                <w:sz w:val="21"/>
              </w:rPr>
              <w:t>SRAM Memory</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2.5 KB</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2 GB – 8 GB LPDDR4</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520 KB SRAM</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ESP32 has ample SRAM to handle network stacks and local data buffers without memory overflows.</w:t>
            </w:r>
          </w:p>
        </w:tc>
      </w:tr>
      <w:tr>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color w:val="000000"/>
                <w:sz w:val="21"/>
              </w:rPr>
              <w:t>Flash Storage</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32 KB</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External MicroSD (OS-dependent)</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4 MB SPI Flash</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ESP32 stores firmware and calibration lookups reliably without risking OS corruption.</w:t>
            </w:r>
          </w:p>
        </w:tc>
      </w:tr>
      <w:tr>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color w:val="000000"/>
                <w:sz w:val="21"/>
              </w:rPr>
              <w:t>Built-in Wireless</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None (Requires external shield)</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Dual-Band Wi-Fi (2.4/5.0 GHz) &amp; BLE</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Integrated 2.4 GHz Wi-Fi &amp; BLE 4.2</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ESP32 connects directly to local Wi-Fi without adding extra communication modules or wiring.</w:t>
            </w:r>
          </w:p>
        </w:tc>
      </w:tr>
      <w:tr>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color w:val="000000"/>
                <w:sz w:val="21"/>
              </w:rPr>
              <w:t>Active Power Draw</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~100–150 mW (20–30 mA @ 5V)</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~3.0–6.5 W (600–1300 mA @ 5V)</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~330–790 mW (100–240 mA @ 3.3V TX)</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ESP32 is energy-efficient and suitable for small-scale solar-powered field deployment.</w:t>
            </w:r>
          </w:p>
        </w:tc>
      </w:tr>
      <w:tr>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color w:val="000000"/>
                <w:sz w:val="21"/>
              </w:rPr>
              <w:t>Deep-Sleep Current</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~15–25 mW (No true deep sleep)</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~1.5–2.0 W (No deep sleep mode)</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color w:val="000000"/>
                <w:sz w:val="21"/>
              </w:rPr>
              <w:t>10 µA – 150 µA (Deep Sleep Mode)</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ESP32's ultra-low power deep sleep enables multi-day battery autonomy between polling cycles.</w:t>
            </w:r>
          </w:p>
        </w:tc>
      </w:tr>
      <w:tr>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color w:val="000000"/>
                <w:sz w:val="21"/>
              </w:rPr>
              <w:t>Hardware Bus I/O</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1x UART, 1x SPI, 1x I2C</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2x I2C, 2x SPI, 2x UART (No ADC)</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3x UART, 3x SPI, 2x I2C, 18x ADC</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ESP32 easily interfaces with RS485 (UART2), MicroSD (SPI), DS18B20 (GPIO), and Capacitive sensor (ADC).</w:t>
            </w:r>
          </w:p>
        </w:tc>
      </w:tr>
      <w:tr>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color w:val="000000"/>
                <w:sz w:val="21"/>
              </w:rPr>
              <w:t>Unit Cost (PHP)</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~₱450.00 (Excluding Wi-Fi shield)</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~₱3,500.00 – ₱5,200.00</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color w:val="000000"/>
                <w:sz w:val="21"/>
              </w:rPr>
              <w:t>~₱300.00 – ₱350.00</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ESP32 is highly cost-effective, supporting economic feasibility for smallholder farmers.</w:t>
            </w:r>
          </w:p>
        </w:tc>
      </w:tr>
    </w:tbl>
    <w:p>
      <w:pPr>
        <w:spacing w:after="120"/>
      </w:pPr>
    </w:p>
    <w:p>
      <w:pPr>
        <w:spacing w:before="0" w:after="120" w:line="360" w:lineRule="auto"/>
        <w:ind w:firstLine="720"/>
        <w:jc w:val="both"/>
      </w:pPr>
      <w:r>
        <w:rPr>
          <w:rFonts w:ascii="Times New Roman" w:hAnsi="Times New Roman"/>
          <w:b w:val="0"/>
          <w:color w:val="000000"/>
          <w:sz w:val="24"/>
        </w:rPr>
        <w:t>The comparison between these platforms highlights why the ESP32 is the most suitable choice for SolanaWatch:</w:t>
      </w:r>
    </w:p>
    <w:p>
      <w:pPr>
        <w:pStyle w:val="ListBullet"/>
        <w:spacing w:after="60" w:line="360" w:lineRule="auto"/>
      </w:pPr>
      <w:r>
        <w:rPr>
          <w:rFonts w:ascii="Times New Roman" w:hAnsi="Times New Roman"/>
          <w:b w:val="0"/>
          <w:color w:val="000000"/>
          <w:sz w:val="24"/>
        </w:rPr>
        <w:t xml:space="preserve">The </w:t>
      </w:r>
      <w:r>
        <w:rPr>
          <w:rFonts w:ascii="Times New Roman" w:hAnsi="Times New Roman"/>
          <w:b/>
          <w:color w:val="000000"/>
          <w:sz w:val="24"/>
        </w:rPr>
        <w:t>Arduino Leonardo</w:t>
      </w:r>
      <w:r>
        <w:rPr>
          <w:rFonts w:ascii="Times New Roman" w:hAnsi="Times New Roman"/>
          <w:b w:val="0"/>
          <w:color w:val="000000"/>
          <w:sz w:val="24"/>
        </w:rPr>
        <w:t>, while simple to program, lacks integrated wireless connectivity. Adding an external Wi-Fi shield introduces additional cost, physical wiring complexity, and higher power consumption, while its limited 2.5 KB SRAM restricts data formatting and secure cloud transmission (Didi &amp; El Azami, 2022).</w:t>
      </w:r>
    </w:p>
    <w:p>
      <w:pPr>
        <w:pStyle w:val="ListBullet"/>
        <w:spacing w:after="60" w:line="360" w:lineRule="auto"/>
      </w:pPr>
      <w:r>
        <w:rPr>
          <w:rFonts w:ascii="Times New Roman" w:hAnsi="Times New Roman"/>
          <w:b w:val="0"/>
          <w:color w:val="000000"/>
          <w:sz w:val="24"/>
        </w:rPr>
        <w:t xml:space="preserve">The </w:t>
      </w:r>
      <w:r>
        <w:rPr>
          <w:rFonts w:ascii="Times New Roman" w:hAnsi="Times New Roman"/>
          <w:b/>
          <w:color w:val="000000"/>
          <w:sz w:val="24"/>
        </w:rPr>
        <w:t>Raspberry Pi 4</w:t>
      </w:r>
      <w:r>
        <w:rPr>
          <w:rFonts w:ascii="Times New Roman" w:hAnsi="Times New Roman"/>
          <w:b w:val="0"/>
          <w:color w:val="000000"/>
          <w:sz w:val="24"/>
        </w:rPr>
        <w:t>, operating as a single-board computer, provides substantially greater computing capability than required for a field sensing node. However, its high power requirements (3.0W–6.5W) would necessitate a large, costly solar panel and battery bank. Furthermore, unexpected power loss can cause Linux filesystem corruption, reducing field reliability.</w:t>
      </w:r>
    </w:p>
    <w:p>
      <w:pPr>
        <w:pStyle w:val="ListBullet"/>
        <w:spacing w:after="60" w:line="360" w:lineRule="auto"/>
      </w:pPr>
      <w:r>
        <w:rPr>
          <w:rFonts w:ascii="Times New Roman" w:hAnsi="Times New Roman"/>
          <w:b w:val="0"/>
          <w:color w:val="000000"/>
          <w:sz w:val="24"/>
        </w:rPr>
        <w:t xml:space="preserve">The </w:t>
      </w:r>
      <w:r>
        <w:rPr>
          <w:rFonts w:ascii="Times New Roman" w:hAnsi="Times New Roman"/>
          <w:b/>
          <w:color w:val="000000"/>
          <w:sz w:val="24"/>
        </w:rPr>
        <w:t>ESP32</w:t>
      </w:r>
      <w:r>
        <w:rPr>
          <w:rFonts w:ascii="Times New Roman" w:hAnsi="Times New Roman"/>
          <w:b w:val="0"/>
          <w:color w:val="000000"/>
          <w:sz w:val="24"/>
        </w:rPr>
        <w:t xml:space="preserve"> provides built-in 2.4 GHz Wi-Fi, rich peripheral interfaces (UART, SPI, ADC), robust FreeRTOS support, and an ultra-low power deep sleep mode (10–150 µA) at an affordable cost (Mohd Khalid et al., 2024; Suryadevara et al., 2022). These characteristics directly satisfy SolanaWatch's requirements for multi-sensor data acquisition, wireless telemetry, and solar-battery field operation.</w:t>
      </w:r>
    </w:p>
    <w:p>
      <w:pPr>
        <w:keepNext/>
        <w:spacing w:before="280" w:after="120"/>
        <w:jc w:val="left"/>
      </w:pPr>
      <w:r>
        <w:rPr>
          <w:rFonts w:ascii="Times New Roman" w:hAnsi="Times New Roman"/>
          <w:b/>
          <w:sz w:val="26"/>
        </w:rPr>
        <w:t>2.3 Environmental Sensors and Calibration</w:t>
      </w:r>
    </w:p>
    <w:p>
      <w:pPr>
        <w:spacing w:before="0" w:after="120" w:line="360" w:lineRule="auto"/>
        <w:ind w:firstLine="720"/>
        <w:jc w:val="both"/>
      </w:pPr>
      <w:r>
        <w:rPr>
          <w:rFonts w:ascii="Times New Roman" w:hAnsi="Times New Roman"/>
          <w:b w:val="0"/>
          <w:color w:val="000000"/>
          <w:sz w:val="24"/>
        </w:rPr>
        <w:t>The sensors used in SolanaWatch were selected based on the environmental variables identified in the literature:</w:t>
      </w:r>
    </w:p>
    <w:p>
      <w:pPr>
        <w:pStyle w:val="ListBullet"/>
        <w:spacing w:after="60" w:line="360" w:lineRule="auto"/>
      </w:pPr>
      <w:r>
        <w:rPr>
          <w:rFonts w:ascii="Times New Roman" w:hAnsi="Times New Roman"/>
          <w:b/>
          <w:color w:val="000000"/>
          <w:sz w:val="24"/>
        </w:rPr>
        <w:t>Ambient Air Temperature and Relative Humidity</w:t>
      </w:r>
      <w:r>
        <w:rPr>
          <w:rFonts w:ascii="Times New Roman" w:hAnsi="Times New Roman"/>
          <w:b w:val="0"/>
          <w:color w:val="000000"/>
          <w:sz w:val="24"/>
        </w:rPr>
        <w:t xml:space="preserve">: The DHT22 (AM2302) provides high-accuracy temperature and humidity measurements to characterize foliar conditions (Suryadevara et al., 2022). To prevent direct sunlight from skewing readings, the sensor is housed inside a </w:t>
      </w:r>
      <w:r>
        <w:rPr>
          <w:rFonts w:ascii="Times New Roman" w:hAnsi="Times New Roman"/>
          <w:b/>
          <w:color w:val="000000"/>
          <w:sz w:val="24"/>
        </w:rPr>
        <w:t>louvered Stevenson Radiation Shield</w:t>
      </w:r>
      <w:r>
        <w:rPr>
          <w:rFonts w:ascii="Times New Roman" w:hAnsi="Times New Roman"/>
          <w:b w:val="0"/>
          <w:color w:val="000000"/>
          <w:sz w:val="24"/>
        </w:rPr>
        <w:t>, ensuring representative ambient airflow while shielding the sensor from solar radiation and rain (Botero-Valencia et al., 2022).</w:t>
      </w:r>
    </w:p>
    <w:p>
      <w:pPr>
        <w:pStyle w:val="ListBullet"/>
        <w:spacing w:after="60" w:line="360" w:lineRule="auto"/>
      </w:pPr>
      <w:r>
        <w:rPr>
          <w:rFonts w:ascii="Times New Roman" w:hAnsi="Times New Roman"/>
          <w:b/>
          <w:color w:val="000000"/>
          <w:sz w:val="24"/>
        </w:rPr>
        <w:t>Soil Temperature</w:t>
      </w:r>
      <w:r>
        <w:rPr>
          <w:rFonts w:ascii="Times New Roman" w:hAnsi="Times New Roman"/>
          <w:b w:val="0"/>
          <w:color w:val="000000"/>
          <w:sz w:val="24"/>
        </w:rPr>
        <w:t>: The waterproof Dallas DS18B20 digital probe measures root-zone soil temperature via a 1-Wire communication interface, offering high precision (±0.5°C) and corrosion resistance for subsurface soil placement (Faqir et al., 2024).</w:t>
      </w:r>
    </w:p>
    <w:p>
      <w:pPr>
        <w:pStyle w:val="ListBullet"/>
        <w:spacing w:after="60" w:line="360" w:lineRule="auto"/>
      </w:pPr>
      <w:r>
        <w:rPr>
          <w:rFonts w:ascii="Times New Roman" w:hAnsi="Times New Roman"/>
          <w:b/>
          <w:color w:val="000000"/>
          <w:sz w:val="24"/>
        </w:rPr>
        <w:t>Soil Moisture</w:t>
      </w:r>
      <w:r>
        <w:rPr>
          <w:rFonts w:ascii="Times New Roman" w:hAnsi="Times New Roman"/>
          <w:b w:val="0"/>
          <w:color w:val="000000"/>
          <w:sz w:val="24"/>
        </w:rPr>
        <w:t>: The Capacitive Soil Moisture Sensor v1.2 measures soil volumetric water content using dielectric capacitance. Unlike resistive probes that suffer from electrochemical corrosion and rapid electrode degradation, the capacitive sensor's insulated traces provide long-term field stability (Cabia et al., 2025; Songara &amp; Patel, 2022).</w:t>
      </w:r>
    </w:p>
    <w:p>
      <w:pPr>
        <w:pStyle w:val="ListBullet"/>
        <w:spacing w:after="60" w:line="360" w:lineRule="auto"/>
      </w:pPr>
      <w:r>
        <w:rPr>
          <w:rFonts w:ascii="Times New Roman" w:hAnsi="Times New Roman"/>
          <w:b/>
          <w:color w:val="000000"/>
          <w:sz w:val="24"/>
        </w:rPr>
        <w:t>Leaf Surface Wetness</w:t>
      </w:r>
      <w:r>
        <w:rPr>
          <w:rFonts w:ascii="Times New Roman" w:hAnsi="Times New Roman"/>
          <w:b w:val="0"/>
          <w:color w:val="000000"/>
          <w:sz w:val="24"/>
        </w:rPr>
        <w:t xml:space="preserve">: An industrial dielectric leaf wetness sensor with an IP68 waterproof rating measures surface moisture on crop leaves. Interfaced through a MAX485 transceiver using the </w:t>
      </w:r>
      <w:r>
        <w:rPr>
          <w:rFonts w:ascii="Times New Roman" w:hAnsi="Times New Roman"/>
          <w:b/>
          <w:color w:val="000000"/>
          <w:sz w:val="24"/>
        </w:rPr>
        <w:t>RS485 Modbus-RTU protocol</w:t>
      </w:r>
      <w:r>
        <w:rPr>
          <w:rFonts w:ascii="Times New Roman" w:hAnsi="Times New Roman"/>
          <w:b w:val="0"/>
          <w:color w:val="000000"/>
          <w:sz w:val="24"/>
        </w:rPr>
        <w:t>, it provides differential signal immunity against electrical noise and supports reliable communication over field wiring (Faqir et al., 2024; Tao et al., 2024).</w:t>
      </w:r>
    </w:p>
    <w:p>
      <w:pPr>
        <w:spacing w:before="0" w:after="120" w:line="360" w:lineRule="auto"/>
        <w:ind w:firstLine="720"/>
        <w:jc w:val="both"/>
      </w:pPr>
      <w:r>
        <w:rPr>
          <w:rFonts w:ascii="Times New Roman" w:hAnsi="Times New Roman"/>
          <w:b w:val="0"/>
          <w:color w:val="000000"/>
          <w:sz w:val="24"/>
        </w:rPr>
        <w:t xml:space="preserve">Literature emphasizes that precision agriculture systems require standardized sensor calibration before deployment to eliminate baseline drift and systematic error (Cabia et al., 2025; Mane et al., 2024; Montzka et al., 2020). For capacitive soil moisture sensors, a </w:t>
      </w:r>
      <w:r>
        <w:rPr>
          <w:rFonts w:ascii="Times New Roman" w:hAnsi="Times New Roman"/>
          <w:b/>
          <w:color w:val="000000"/>
          <w:sz w:val="24"/>
        </w:rPr>
        <w:t>two-point calibration method</w:t>
      </w:r>
      <w:r>
        <w:rPr>
          <w:rFonts w:ascii="Times New Roman" w:hAnsi="Times New Roman"/>
          <w:b w:val="0"/>
          <w:color w:val="000000"/>
          <w:sz w:val="24"/>
        </w:rPr>
        <w:t xml:space="preserve"> (measuring dry-air baseline ADC vs. fully saturated water ADC) establishes an accurate linear conversion for volumetric moisture (Songara &amp; Patel, 2022). Similarly, temperature and humidity sensors are verified against ice-bath references and saturated salt solution chambers (NaCl at 75.3% RH) to maintain high data accuracy (Montzka et al., 2020).</w:t>
      </w:r>
    </w:p>
    <w:p>
      <w:pPr>
        <w:keepNext/>
        <w:spacing w:before="280" w:after="120"/>
        <w:jc w:val="left"/>
      </w:pPr>
      <w:r>
        <w:rPr>
          <w:rFonts w:ascii="Times New Roman" w:hAnsi="Times New Roman"/>
          <w:b/>
          <w:sz w:val="26"/>
        </w:rPr>
        <w:t>2.4 Solar-Assisted Power and Battery Systems</w:t>
      </w:r>
    </w:p>
    <w:p>
      <w:pPr>
        <w:spacing w:before="0" w:after="120" w:line="360" w:lineRule="auto"/>
        <w:ind w:firstLine="720"/>
        <w:jc w:val="both"/>
      </w:pPr>
      <w:r>
        <w:rPr>
          <w:rFonts w:ascii="Times New Roman" w:hAnsi="Times New Roman"/>
          <w:b w:val="0"/>
          <w:color w:val="000000"/>
          <w:sz w:val="24"/>
        </w:rPr>
        <w:t>Continuous monitoring in agricultural fields requires an autonomous, reliable power source because external electrical outlets are unavailable in remote crop areas (Botero-Valencia et al., 2022; Gao et al., 2023).</w:t>
      </w:r>
    </w:p>
    <w:p>
      <w:pPr>
        <w:spacing w:before="0" w:after="120" w:line="360" w:lineRule="auto"/>
        <w:ind w:firstLine="720"/>
        <w:jc w:val="both"/>
      </w:pPr>
      <w:r>
        <w:rPr>
          <w:rFonts w:ascii="Times New Roman" w:hAnsi="Times New Roman"/>
          <w:b w:val="0"/>
          <w:color w:val="000000"/>
          <w:sz w:val="24"/>
        </w:rPr>
        <w:t xml:space="preserve">The original proposal configuration considered a single </w:t>
      </w:r>
      <w:r>
        <w:rPr>
          <w:rFonts w:ascii="Times New Roman" w:hAnsi="Times New Roman"/>
          <w:b/>
          <w:color w:val="000000"/>
          <w:sz w:val="24"/>
        </w:rPr>
        <w:t>3.7V 2600 mAh Lithium-ion battery</w:t>
      </w:r>
      <w:r>
        <w:rPr>
          <w:rFonts w:ascii="Times New Roman" w:hAnsi="Times New Roman"/>
          <w:b w:val="0"/>
          <w:color w:val="000000"/>
          <w:sz w:val="24"/>
        </w:rPr>
        <w:t xml:space="preserve">. However, technical reassessment and power audit calculations revealed that a 3.7V 2600 mAh cell provides only </w:t>
      </w:r>
      <w:r>
        <w:rPr>
          <w:rFonts w:ascii="Times New Roman" w:hAnsi="Times New Roman"/>
          <w:b/>
          <w:color w:val="000000"/>
          <w:sz w:val="24"/>
        </w:rPr>
        <w:t>9.62 Watt-hours (Wh)</w:t>
      </w:r>
      <w:r>
        <w:rPr>
          <w:rFonts w:ascii="Times New Roman" w:hAnsi="Times New Roman"/>
          <w:b w:val="0"/>
          <w:color w:val="000000"/>
          <w:sz w:val="24"/>
        </w:rPr>
        <w:t xml:space="preserve"> of nominal energy. When powering the ESP32 (Wi-Fi TX current peaks of 180–240 mA), voltage converters for 12V RS485 sensors, and multiple sensing modules, a 2600 mAh battery depletes in </w:t>
      </w:r>
      <w:r>
        <w:rPr>
          <w:rFonts w:ascii="Times New Roman" w:hAnsi="Times New Roman"/>
          <w:b/>
          <w:color w:val="000000"/>
          <w:sz w:val="24"/>
        </w:rPr>
        <w:t>under 16 to 24 hours</w:t>
      </w:r>
      <w:r>
        <w:rPr>
          <w:rFonts w:ascii="Times New Roman" w:hAnsi="Times New Roman"/>
          <w:b w:val="0"/>
          <w:color w:val="000000"/>
          <w:sz w:val="24"/>
        </w:rPr>
        <w:t xml:space="preserve"> without continuous direct sunlight. Furthermore, standard Li-ion chemistry has a limited lifespan (300–500 cycles) and is vulnerable to capacity loss under high tropical temperatures (Gao et al., 2023).</w:t>
      </w:r>
    </w:p>
    <w:p>
      <w:pPr>
        <w:spacing w:before="0" w:after="120" w:line="360" w:lineRule="auto"/>
        <w:ind w:firstLine="720"/>
        <w:jc w:val="both"/>
      </w:pPr>
      <w:r>
        <w:rPr>
          <w:rFonts w:ascii="Times New Roman" w:hAnsi="Times New Roman"/>
          <w:b w:val="0"/>
          <w:color w:val="000000"/>
          <w:sz w:val="24"/>
        </w:rPr>
        <w:t xml:space="preserve">To achieve true 24/7 continuous operation, the revised design integrates a </w:t>
      </w:r>
      <w:r>
        <w:rPr>
          <w:rFonts w:ascii="Times New Roman" w:hAnsi="Times New Roman"/>
          <w:b/>
          <w:color w:val="000000"/>
          <w:sz w:val="24"/>
        </w:rPr>
        <w:t>solar-assisted power subsystem</w:t>
      </w:r>
      <w:r>
        <w:rPr>
          <w:rFonts w:ascii="Times New Roman" w:hAnsi="Times New Roman"/>
          <w:b w:val="0"/>
          <w:color w:val="000000"/>
          <w:sz w:val="24"/>
        </w:rPr>
        <w:t xml:space="preserve"> utilizing </w:t>
      </w:r>
      <w:r>
        <w:rPr>
          <w:rFonts w:ascii="Times New Roman" w:hAnsi="Times New Roman"/>
          <w:b/>
          <w:color w:val="000000"/>
          <w:sz w:val="24"/>
        </w:rPr>
        <w:t>Lithium Iron Phosphate (LiFePO₄)</w:t>
      </w:r>
      <w:r>
        <w:rPr>
          <w:rFonts w:ascii="Times New Roman" w:hAnsi="Times New Roman"/>
          <w:b w:val="0"/>
          <w:color w:val="000000"/>
          <w:sz w:val="24"/>
        </w:rPr>
        <w:t xml:space="preserve"> chemistry:</w:t>
      </w:r>
    </w:p>
    <w:p>
      <w:pPr>
        <w:pStyle w:val="ListBullet"/>
        <w:spacing w:after="60" w:line="360" w:lineRule="auto"/>
      </w:pPr>
      <w:r>
        <w:rPr>
          <w:rFonts w:ascii="Times New Roman" w:hAnsi="Times New Roman"/>
          <w:b/>
          <w:color w:val="000000"/>
          <w:sz w:val="24"/>
        </w:rPr>
        <w:t>LiFePO₄ Battery Storage</w:t>
      </w:r>
      <w:r>
        <w:rPr>
          <w:rFonts w:ascii="Times New Roman" w:hAnsi="Times New Roman"/>
          <w:b w:val="0"/>
          <w:color w:val="000000"/>
          <w:sz w:val="24"/>
        </w:rPr>
        <w:t xml:space="preserve">: Delivers a stable 12.8V rail with high thermal stability (up to 60°C) and an extended cycle life of </w:t>
      </w:r>
      <w:r>
        <w:rPr>
          <w:rFonts w:ascii="Times New Roman" w:hAnsi="Times New Roman"/>
          <w:b/>
          <w:color w:val="000000"/>
          <w:sz w:val="24"/>
        </w:rPr>
        <w:t>2,000 to 4,000 charge cycles</w:t>
      </w:r>
      <w:r>
        <w:rPr>
          <w:rFonts w:ascii="Times New Roman" w:hAnsi="Times New Roman"/>
          <w:b w:val="0"/>
          <w:color w:val="000000"/>
          <w:sz w:val="24"/>
        </w:rPr>
        <w:t xml:space="preserve"> at 80% Depth of Discharge (DoD).</w:t>
      </w:r>
    </w:p>
    <w:p>
      <w:pPr>
        <w:pStyle w:val="ListBullet"/>
        <w:spacing w:after="60" w:line="360" w:lineRule="auto"/>
      </w:pPr>
      <w:r>
        <w:rPr>
          <w:rFonts w:ascii="Times New Roman" w:hAnsi="Times New Roman"/>
          <w:b/>
          <w:color w:val="000000"/>
          <w:sz w:val="24"/>
        </w:rPr>
        <w:t>Solar PV Harvesting</w:t>
      </w:r>
      <w:r>
        <w:rPr>
          <w:rFonts w:ascii="Times New Roman" w:hAnsi="Times New Roman"/>
          <w:b w:val="0"/>
          <w:color w:val="000000"/>
          <w:sz w:val="24"/>
        </w:rPr>
        <w:t xml:space="preserve">: A </w:t>
      </w:r>
      <w:r>
        <w:rPr>
          <w:rFonts w:ascii="Times New Roman" w:hAnsi="Times New Roman"/>
          <w:b/>
          <w:color w:val="000000"/>
          <w:sz w:val="24"/>
        </w:rPr>
        <w:t>20W Monocrystalline Solar Panel</w:t>
      </w:r>
      <w:r>
        <w:rPr>
          <w:rFonts w:ascii="Times New Roman" w:hAnsi="Times New Roman"/>
          <w:b w:val="0"/>
          <w:color w:val="000000"/>
          <w:sz w:val="24"/>
        </w:rPr>
        <w:t xml:space="preserve"> paired with an </w:t>
      </w:r>
      <w:r>
        <w:rPr>
          <w:rFonts w:ascii="Times New Roman" w:hAnsi="Times New Roman"/>
          <w:b/>
          <w:color w:val="000000"/>
          <w:sz w:val="24"/>
        </w:rPr>
        <w:t>IP67 MPPT Solar Charge Controller</w:t>
      </w:r>
      <w:r>
        <w:rPr>
          <w:rFonts w:ascii="Times New Roman" w:hAnsi="Times New Roman"/>
          <w:b w:val="0"/>
          <w:color w:val="000000"/>
          <w:sz w:val="24"/>
        </w:rPr>
        <w:t xml:space="preserve"> collects solar energy during daylight hours to power the node and replenish the battery. Under average Philippine solar conditions (4.5 Peak Sun Hours per day), the 20W panel generates approximately </w:t>
      </w:r>
      <w:r>
        <w:rPr>
          <w:rFonts w:ascii="Times New Roman" w:hAnsi="Times New Roman"/>
          <w:b/>
          <w:color w:val="000000"/>
          <w:sz w:val="24"/>
        </w:rPr>
        <w:t>67.5 Wh/day</w:t>
      </w:r>
      <w:r>
        <w:rPr>
          <w:rFonts w:ascii="Times New Roman" w:hAnsi="Times New Roman"/>
          <w:b w:val="0"/>
          <w:color w:val="000000"/>
          <w:sz w:val="24"/>
        </w:rPr>
        <w:t xml:space="preserve">, easily replenishing the node's estimated daily requirement of </w:t>
      </w:r>
      <w:r>
        <w:rPr>
          <w:rFonts w:ascii="Times New Roman" w:hAnsi="Times New Roman"/>
          <w:b/>
          <w:color w:val="000000"/>
          <w:sz w:val="24"/>
        </w:rPr>
        <w:t>~2.3 Wh/day</w:t>
      </w:r>
      <w:r>
        <w:rPr>
          <w:rFonts w:ascii="Times New Roman" w:hAnsi="Times New Roman"/>
          <w:b w:val="0"/>
          <w:color w:val="000000"/>
          <w:sz w:val="24"/>
        </w:rPr>
        <w:t xml:space="preserve"> within minutes of direct sunlight.</w:t>
      </w:r>
    </w:p>
    <w:p>
      <w:pPr>
        <w:pStyle w:val="ListBullet"/>
        <w:spacing w:after="60" w:line="360" w:lineRule="auto"/>
      </w:pPr>
      <w:r>
        <w:rPr>
          <w:rFonts w:ascii="Times New Roman" w:hAnsi="Times New Roman"/>
          <w:b/>
          <w:color w:val="000000"/>
          <w:sz w:val="24"/>
        </w:rPr>
        <w:t>Battery Autonomy</w:t>
      </w:r>
      <w:r>
        <w:rPr>
          <w:rFonts w:ascii="Times New Roman" w:hAnsi="Times New Roman"/>
          <w:b w:val="0"/>
          <w:color w:val="000000"/>
          <w:sz w:val="24"/>
        </w:rPr>
        <w:t xml:space="preserve">: Sizing the battery bank at 12.8V 12Ah (153.6 Wh) guarantees over </w:t>
      </w:r>
      <w:r>
        <w:rPr>
          <w:rFonts w:ascii="Times New Roman" w:hAnsi="Times New Roman"/>
          <w:b/>
          <w:color w:val="000000"/>
          <w:sz w:val="24"/>
        </w:rPr>
        <w:t>20+ days of continuous operation</w:t>
      </w:r>
      <w:r>
        <w:rPr>
          <w:rFonts w:ascii="Times New Roman" w:hAnsi="Times New Roman"/>
          <w:b w:val="0"/>
          <w:color w:val="000000"/>
          <w:sz w:val="24"/>
        </w:rPr>
        <w:t xml:space="preserve"> even during extended overcast, rainy, or monsoon periods without sunlight.</w:t>
      </w:r>
    </w:p>
    <w:p>
      <w:pPr>
        <w:keepNext/>
        <w:spacing w:before="280" w:after="120"/>
        <w:jc w:val="left"/>
      </w:pPr>
      <w:r>
        <w:rPr>
          <w:rFonts w:ascii="Times New Roman" w:hAnsi="Times New Roman"/>
          <w:b/>
          <w:sz w:val="26"/>
        </w:rPr>
        <w:t>2.5 Offline Data Buffering, Wireless Range, and Cloud Synchronization</w:t>
      </w:r>
    </w:p>
    <w:p>
      <w:pPr>
        <w:spacing w:before="0" w:after="120" w:line="360" w:lineRule="auto"/>
        <w:ind w:firstLine="720"/>
        <w:jc w:val="both"/>
      </w:pPr>
      <w:r>
        <w:rPr>
          <w:rFonts w:ascii="Times New Roman" w:hAnsi="Times New Roman"/>
          <w:b w:val="0"/>
          <w:color w:val="000000"/>
          <w:sz w:val="24"/>
        </w:rPr>
        <w:t>Continuous operation also requires the system to maintain data integrity when internet connectivity is temporarily unavailable (Rachakonda &amp; Stasiewicz, 2024; Tao et al., 2024). Agricultural fields often experience intermittent Wi-Fi coverage due to distance, weather, or signal interference.</w:t>
      </w:r>
    </w:p>
    <w:p>
      <w:pPr>
        <w:spacing w:before="0" w:after="120" w:line="360" w:lineRule="auto"/>
        <w:ind w:firstLine="720"/>
        <w:jc w:val="both"/>
      </w:pPr>
      <w:r>
        <w:rPr>
          <w:rFonts w:ascii="Times New Roman" w:hAnsi="Times New Roman"/>
          <w:b w:val="0"/>
          <w:color w:val="000000"/>
          <w:sz w:val="24"/>
        </w:rPr>
        <w:t xml:space="preserve">For this reason, SolanaWatch incorporates local edge storage using an onboard </w:t>
      </w:r>
      <w:r>
        <w:rPr>
          <w:rFonts w:ascii="Times New Roman" w:hAnsi="Times New Roman"/>
          <w:b/>
          <w:color w:val="000000"/>
          <w:sz w:val="24"/>
        </w:rPr>
        <w:t>SPI MicroSD card module</w:t>
      </w:r>
      <w:r>
        <w:rPr>
          <w:rFonts w:ascii="Times New Roman" w:hAnsi="Times New Roman"/>
          <w:b w:val="0"/>
          <w:color w:val="000000"/>
          <w:sz w:val="24"/>
        </w:rPr>
        <w:t xml:space="preserve">. When the ESP32 cannot establish a network connection, sensor readings are appended sequentially to a local FIFO queue on the memory card. Once Wi-Fi connectivity is restored, the ESP32 executes an </w:t>
      </w:r>
      <w:r>
        <w:rPr>
          <w:rFonts w:ascii="Times New Roman" w:hAnsi="Times New Roman"/>
          <w:b/>
          <w:color w:val="000000"/>
          <w:sz w:val="24"/>
        </w:rPr>
        <w:t>idempotent batch synchronization routine</w:t>
      </w:r>
      <w:r>
        <w:rPr>
          <w:rFonts w:ascii="Times New Roman" w:hAnsi="Times New Roman"/>
          <w:b w:val="0"/>
          <w:color w:val="000000"/>
          <w:sz w:val="24"/>
        </w:rPr>
        <w:t xml:space="preserve"> with the cloud backend (Tao et al., 2024). Each record is identified by a unique client timestamp and UUID, and the cloud database enforces a composite unique constraint (</w:t>
      </w:r>
      <w:r>
        <w:rPr>
          <w:rFonts w:ascii="Times New Roman" w:hAnsi="Times New Roman"/>
          <w:b/>
          <w:color w:val="000000"/>
          <w:sz w:val="24"/>
        </w:rPr>
        <w:t>node_id + recorded_at</w:t>
      </w:r>
      <w:r>
        <w:rPr>
          <w:rFonts w:ascii="Times New Roman" w:hAnsi="Times New Roman"/>
          <w:b w:val="0"/>
          <w:color w:val="000000"/>
          <w:sz w:val="24"/>
        </w:rPr>
        <w:t>), preventing duplicate records and ensuring zero data loss during network disruptions.</w:t>
      </w:r>
    </w:p>
    <w:p>
      <w:pPr>
        <w:spacing w:before="0" w:after="120" w:line="360" w:lineRule="auto"/>
        <w:ind w:firstLine="720"/>
        <w:jc w:val="both"/>
      </w:pPr>
      <w:r>
        <w:rPr>
          <w:rFonts w:ascii="Times New Roman" w:hAnsi="Times New Roman"/>
          <w:b w:val="0"/>
          <w:color w:val="000000"/>
          <w:sz w:val="24"/>
        </w:rPr>
        <w:t xml:space="preserve">A clear distinction identified in the literature is the difference between </w:t>
      </w:r>
      <w:r>
        <w:rPr>
          <w:rFonts w:ascii="Times New Roman" w:hAnsi="Times New Roman"/>
          <w:b/>
          <w:color w:val="000000"/>
          <w:sz w:val="24"/>
        </w:rPr>
        <w:t>sensor microclimatic coverage</w:t>
      </w:r>
      <w:r>
        <w:rPr>
          <w:rFonts w:ascii="Times New Roman" w:hAnsi="Times New Roman"/>
          <w:b w:val="0"/>
          <w:color w:val="000000"/>
          <w:sz w:val="24"/>
        </w:rPr>
        <w:t xml:space="preserve"> and </w:t>
      </w:r>
      <w:r>
        <w:rPr>
          <w:rFonts w:ascii="Times New Roman" w:hAnsi="Times New Roman"/>
          <w:b/>
          <w:color w:val="000000"/>
          <w:sz w:val="24"/>
        </w:rPr>
        <w:t>wireless communication range</w:t>
      </w:r>
      <w:r>
        <w:rPr>
          <w:rFonts w:ascii="Times New Roman" w:hAnsi="Times New Roman"/>
          <w:b w:val="0"/>
          <w:color w:val="000000"/>
          <w:sz w:val="24"/>
        </w:rPr>
        <w:t>:</w:t>
      </w:r>
    </w:p>
    <w:p>
      <w:pPr>
        <w:pStyle w:val="ListBullet"/>
        <w:spacing w:after="60" w:line="360" w:lineRule="auto"/>
      </w:pPr>
      <w:r>
        <w:rPr>
          <w:rFonts w:ascii="Times New Roman" w:hAnsi="Times New Roman"/>
          <w:b/>
          <w:color w:val="000000"/>
          <w:sz w:val="24"/>
        </w:rPr>
        <w:t>Sensor Coverage Area</w:t>
      </w:r>
      <w:r>
        <w:rPr>
          <w:rFonts w:ascii="Times New Roman" w:hAnsi="Times New Roman"/>
          <w:b w:val="0"/>
          <w:color w:val="000000"/>
          <w:sz w:val="24"/>
        </w:rPr>
        <w:t>: The localized physical zone (typically 5m to 15m radius in uniform canopy conditions) where point-source sensors accurately reflect the microclimatic and soil environment.</w:t>
      </w:r>
    </w:p>
    <w:p>
      <w:pPr>
        <w:pStyle w:val="ListBullet"/>
        <w:spacing w:after="60" w:line="360" w:lineRule="auto"/>
      </w:pPr>
      <w:r>
        <w:rPr>
          <w:rFonts w:ascii="Times New Roman" w:hAnsi="Times New Roman"/>
          <w:b/>
          <w:color w:val="000000"/>
          <w:sz w:val="24"/>
        </w:rPr>
        <w:t>Wireless Communication Range</w:t>
      </w:r>
      <w:r>
        <w:rPr>
          <w:rFonts w:ascii="Times New Roman" w:hAnsi="Times New Roman"/>
          <w:b w:val="0"/>
          <w:color w:val="000000"/>
          <w:sz w:val="24"/>
        </w:rPr>
        <w:t>: The radio-frequency transmission distance between the ESP32 and the local Wi-Fi router (typically 30m to 50m Line-of-Sight outdoors), which can be evaluated empirically through RSSI signal strength and packet loss testing (Suryadevara et al., 2022).</w:t>
      </w:r>
    </w:p>
    <w:p>
      <w:pPr>
        <w:keepNext/>
        <w:spacing w:before="280" w:after="120"/>
        <w:jc w:val="left"/>
      </w:pPr>
      <w:r>
        <w:rPr>
          <w:rFonts w:ascii="Times New Roman" w:hAnsi="Times New Roman"/>
          <w:b/>
          <w:sz w:val="26"/>
        </w:rPr>
        <w:t>2.6 Hardware Prototyping and Outdoor Enclosure Protection</w:t>
      </w:r>
    </w:p>
    <w:p>
      <w:pPr>
        <w:spacing w:before="0" w:after="120" w:line="360" w:lineRule="auto"/>
        <w:ind w:firstLine="720"/>
        <w:jc w:val="both"/>
      </w:pPr>
      <w:r>
        <w:rPr>
          <w:rFonts w:ascii="Times New Roman" w:hAnsi="Times New Roman"/>
          <w:b w:val="0"/>
          <w:color w:val="000000"/>
          <w:sz w:val="24"/>
        </w:rPr>
        <w:t>The reliability of an outdoor agricultural device depends heavily on circuit construction and physical packaging (Botero-Valencia et al., 2022; Faqir et al., 2024). While solderless breadboards are commonly used in early lab testing, they are unsuited for agricultural deployment due to high contact resistance (0.1 to 0.5 Ω), loose jumper wires, and rapid oxidation under tropical humidity (&gt; 85% RH).</w:t>
      </w:r>
    </w:p>
    <w:p>
      <w:pPr>
        <w:spacing w:before="0" w:after="120" w:line="360" w:lineRule="auto"/>
        <w:ind w:firstLine="720"/>
        <w:jc w:val="both"/>
      </w:pPr>
      <w:r>
        <w:rPr>
          <w:rFonts w:ascii="Times New Roman" w:hAnsi="Times New Roman"/>
          <w:b w:val="0"/>
          <w:color w:val="000000"/>
          <w:sz w:val="24"/>
        </w:rPr>
        <w:t xml:space="preserve">To ensure long-term field reliability, the final SolanaWatch prototype transitions from breadboard wiring to a </w:t>
      </w:r>
      <w:r>
        <w:rPr>
          <w:rFonts w:ascii="Times New Roman" w:hAnsi="Times New Roman"/>
          <w:b/>
          <w:color w:val="000000"/>
          <w:sz w:val="24"/>
        </w:rPr>
        <w:t>custom fabricated Printed Circuit Board (PCB) / proto-shield</w:t>
      </w:r>
      <w:r>
        <w:rPr>
          <w:rFonts w:ascii="Times New Roman" w:hAnsi="Times New Roman"/>
          <w:b w:val="0"/>
          <w:color w:val="000000"/>
          <w:sz w:val="24"/>
        </w:rPr>
        <w:t xml:space="preserve">. Soldered connections provide stable ground referencing, eliminate vibration-induced disconnects, and protect analog signal integrity (&lt; 0.01 Ω contact resistance). The electronic components are housed in an </w:t>
      </w:r>
      <w:r>
        <w:rPr>
          <w:rFonts w:ascii="Times New Roman" w:hAnsi="Times New Roman"/>
          <w:b/>
          <w:color w:val="000000"/>
          <w:sz w:val="24"/>
        </w:rPr>
        <w:t>IP65/IP66 weatherproof polycarbonate enclosure</w:t>
      </w:r>
      <w:r>
        <w:rPr>
          <w:rFonts w:ascii="Times New Roman" w:hAnsi="Times New Roman"/>
          <w:b w:val="0"/>
          <w:color w:val="000000"/>
          <w:sz w:val="24"/>
        </w:rPr>
        <w:t xml:space="preserve"> with rubber silicone gaskets, waterproof PG7/PG9 cable glands, and internal desiccant packs to prevent moisture condensation.</w:t>
      </w:r>
    </w:p>
    <w:p>
      <w:pPr>
        <w:keepNext/>
        <w:spacing w:before="280" w:after="120"/>
        <w:jc w:val="left"/>
      </w:pPr>
      <w:r>
        <w:rPr>
          <w:rFonts w:ascii="Times New Roman" w:hAnsi="Times New Roman"/>
          <w:b/>
          <w:sz w:val="26"/>
        </w:rPr>
        <w:t>2.7 Synthesis and Identified Research Gaps</w:t>
      </w:r>
    </w:p>
    <w:p>
      <w:pPr>
        <w:spacing w:before="0" w:after="120" w:line="360" w:lineRule="auto"/>
        <w:ind w:firstLine="720"/>
        <w:jc w:val="both"/>
      </w:pPr>
      <w:r>
        <w:rPr>
          <w:rFonts w:ascii="Times New Roman" w:hAnsi="Times New Roman"/>
          <w:b w:val="0"/>
          <w:color w:val="000000"/>
          <w:sz w:val="24"/>
        </w:rPr>
        <w:t>Existing smart agriculture systems generally focus on individual agricultural tasks such as automated irrigation (Idris et al., 2024), mobile soil rover mapping (Das et al., 2024), or image-based visual disease classification (Jafar et al., 2024). While image-based AI systems detect diseases after visible symptoms appear, they miss the critical pre-symptomatic window for low-cost preventive action. Conversely, commercial multi-sensor platforms remain cost-prohibitive for small-scale farmers and require continuous internet access and grid electricity.</w:t>
      </w:r>
    </w:p>
    <w:p>
      <w:pPr>
        <w:keepNext/>
        <w:spacing w:before="240" w:after="80"/>
        <w:jc w:val="left"/>
      </w:pPr>
      <w:r>
        <w:rPr>
          <w:rFonts w:ascii="Times New Roman" w:hAnsi="Times New Roman"/>
          <w:b/>
          <w:color w:val="000000"/>
          <w:sz w:val="24"/>
        </w:rPr>
        <w:t>Table 3: Comparison of Agricultural Monitoring Approaches vs. SolanaWatch</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EAEAEA"/>
            <w:tcMar>
              <w:top w:w="80" w:type="dxa"/>
              <w:bottom w:w="80" w:type="dxa"/>
              <w:left w:w="120" w:type="dxa"/>
              <w:right w:w="120" w:type="dxa"/>
            </w:tcMar>
          </w:tcPr>
          <w:p>
            <w:pPr>
              <w:spacing w:before="60" w:after="60" w:line="276" w:lineRule="auto"/>
              <w:jc w:val="left"/>
            </w:pPr>
            <w:r>
              <w:rPr>
                <w:rFonts w:ascii="Times New Roman" w:hAnsi="Times New Roman"/>
                <w:b/>
                <w:color w:val="000000"/>
              </w:rPr>
            </w:r>
            <w:r>
              <w:rPr>
                <w:rFonts w:ascii="Times New Roman" w:hAnsi="Times New Roman"/>
                <w:b/>
                <w:color w:val="000000"/>
                <w:sz w:val="21"/>
              </w:rPr>
              <w:t>Feature / System</w:t>
            </w:r>
          </w:p>
        </w:tc>
        <w:tc>
          <w:tcPr>
            <w:tcW w:type="dxa" w:w="1872"/>
            <w:shd w:fill="EAEAEA"/>
            <w:tcMar>
              <w:top w:w="80" w:type="dxa"/>
              <w:bottom w:w="80" w:type="dxa"/>
              <w:left w:w="120" w:type="dxa"/>
              <w:right w:w="120" w:type="dxa"/>
            </w:tcMar>
          </w:tcPr>
          <w:p>
            <w:pPr>
              <w:spacing w:before="60" w:after="60" w:line="276" w:lineRule="auto"/>
              <w:jc w:val="left"/>
            </w:pPr>
            <w:r>
              <w:rPr>
                <w:rFonts w:ascii="Times New Roman" w:hAnsi="Times New Roman"/>
                <w:b/>
                <w:color w:val="000000"/>
              </w:rPr>
            </w:r>
            <w:r>
              <w:rPr>
                <w:rFonts w:ascii="Times New Roman" w:hAnsi="Times New Roman"/>
                <w:b/>
                <w:color w:val="000000"/>
                <w:sz w:val="21"/>
              </w:rPr>
              <w:t>Commercial Agronomic Platforms (e.g. CropX)</w:t>
            </w:r>
          </w:p>
        </w:tc>
        <w:tc>
          <w:tcPr>
            <w:tcW w:type="dxa" w:w="1872"/>
            <w:shd w:fill="EAEAEA"/>
            <w:tcMar>
              <w:top w:w="80" w:type="dxa"/>
              <w:bottom w:w="80" w:type="dxa"/>
              <w:left w:w="120" w:type="dxa"/>
              <w:right w:w="120" w:type="dxa"/>
            </w:tcMar>
          </w:tcPr>
          <w:p>
            <w:pPr>
              <w:spacing w:before="60" w:after="60" w:line="276" w:lineRule="auto"/>
              <w:jc w:val="left"/>
            </w:pPr>
            <w:r>
              <w:rPr>
                <w:rFonts w:ascii="Times New Roman" w:hAnsi="Times New Roman"/>
                <w:b/>
                <w:color w:val="000000"/>
              </w:rPr>
            </w:r>
            <w:r>
              <w:rPr>
                <w:rFonts w:ascii="Times New Roman" w:hAnsi="Times New Roman"/>
                <w:b/>
                <w:color w:val="000000"/>
                <w:sz w:val="21"/>
              </w:rPr>
              <w:t>Mobile Agricultural Rovers (e.g. Das et al., 2024)</w:t>
            </w:r>
          </w:p>
        </w:tc>
        <w:tc>
          <w:tcPr>
            <w:tcW w:type="dxa" w:w="1872"/>
            <w:shd w:fill="EAEAEA"/>
            <w:tcMar>
              <w:top w:w="80" w:type="dxa"/>
              <w:bottom w:w="80" w:type="dxa"/>
              <w:left w:w="120" w:type="dxa"/>
              <w:right w:w="120" w:type="dxa"/>
            </w:tcMar>
          </w:tcPr>
          <w:p>
            <w:pPr>
              <w:spacing w:before="60" w:after="60" w:line="276" w:lineRule="auto"/>
              <w:jc w:val="left"/>
            </w:pPr>
            <w:r>
              <w:rPr>
                <w:rFonts w:ascii="Times New Roman" w:hAnsi="Times New Roman"/>
                <w:b/>
                <w:color w:val="000000"/>
              </w:rPr>
            </w:r>
            <w:r>
              <w:rPr>
                <w:rFonts w:ascii="Times New Roman" w:hAnsi="Times New Roman"/>
                <w:b/>
                <w:color w:val="000000"/>
                <w:sz w:val="21"/>
              </w:rPr>
              <w:t>Image-Based AI Apps (e.g. Jafar et al., 2024)</w:t>
            </w:r>
          </w:p>
        </w:tc>
        <w:tc>
          <w:tcPr>
            <w:tcW w:type="dxa" w:w="1872"/>
            <w:shd w:fill="EAEAEA"/>
            <w:tcMar>
              <w:top w:w="80" w:type="dxa"/>
              <w:bottom w:w="80" w:type="dxa"/>
              <w:left w:w="120" w:type="dxa"/>
              <w:right w:w="120" w:type="dxa"/>
            </w:tcMar>
          </w:tcPr>
          <w:p>
            <w:pPr>
              <w:spacing w:before="60" w:after="60" w:line="276" w:lineRule="auto"/>
              <w:jc w:val="left"/>
            </w:pPr>
            <w:r>
              <w:rPr>
                <w:rFonts w:ascii="Times New Roman" w:hAnsi="Times New Roman"/>
                <w:b/>
                <w:color w:val="000000"/>
              </w:rPr>
            </w:r>
            <w:r>
              <w:rPr>
                <w:rFonts w:ascii="Times New Roman" w:hAnsi="Times New Roman"/>
                <w:b/>
                <w:color w:val="000000"/>
                <w:sz w:val="21"/>
              </w:rPr>
              <w:t>Proposed SolanaWatch System</w:t>
            </w:r>
          </w:p>
        </w:tc>
      </w:tr>
      <w:tr>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color w:val="000000"/>
                <w:sz w:val="21"/>
              </w:rPr>
              <w:t>Monitoring Focus</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Deep soil moisture &amp; salinity</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Spatial soil sampling (NPK, pH, moisture)</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Foliar leaf image classification</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color w:val="000000"/>
                <w:sz w:val="21"/>
              </w:rPr>
              <w:t>Canopy microclimate &amp; root-zone soil (5 parameters)</w:t>
            </w:r>
          </w:p>
        </w:tc>
      </w:tr>
      <w:tr>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color w:val="000000"/>
                <w:sz w:val="21"/>
              </w:rPr>
              <w:t>Early Warning Approach</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General agronomic advisory</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None (Soil fertility classification only)</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Post-symptomatic (requires visible leaf lesions)</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color w:val="000000"/>
                <w:sz w:val="21"/>
              </w:rPr>
              <w:t>Pre-symptomatic rule-based disease-risk assessment</w:t>
            </w:r>
          </w:p>
        </w:tc>
      </w:tr>
      <w:tr>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color w:val="000000"/>
                <w:sz w:val="21"/>
              </w:rPr>
              <w:t>Target Pathologies</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None</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None</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General foliar diseases</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color w:val="000000"/>
                <w:sz w:val="21"/>
              </w:rPr>
              <w:t>Late Blight (*P. infestans*) &amp; Bacterial Wilt (*R. pseudosolanacearum*)</w:t>
            </w:r>
          </w:p>
        </w:tc>
      </w:tr>
      <w:tr>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color w:val="000000"/>
                <w:sz w:val="21"/>
              </w:rPr>
              <w:t>Power Infrastructure</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Multi-year proprietary battery</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High-drain battery (1–2 hour run time)</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Smartphone battery / Server</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color w:val="000000"/>
                <w:sz w:val="21"/>
              </w:rPr>
              <w:t>Autonomous 20W Solar PV + LiFePO₄ Battery (≥ 3 days autonomy)</w:t>
            </w:r>
          </w:p>
        </w:tc>
      </w:tr>
      <w:tr>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color w:val="000000"/>
                <w:sz w:val="21"/>
              </w:rPr>
              <w:t>Offline Resilience</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Cellular cloud-only</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LoRa to local PC</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Continuous internet required</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color w:val="000000"/>
                <w:sz w:val="21"/>
              </w:rPr>
              <w:t>Local SPI MicroSD FIFO buffer with idempotent cloud sync</w:t>
            </w:r>
          </w:p>
        </w:tc>
      </w:tr>
      <w:tr>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color w:val="000000"/>
                <w:sz w:val="21"/>
              </w:rPr>
              <w:t>Implementation Cost</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Very High (&gt;₱50,000 + subscription)</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High (₱25,000–₱35,000)</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Low device cost, but reactive</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color w:val="000000"/>
                <w:sz w:val="21"/>
              </w:rPr>
              <w:t>Affordable (~₱7,200) with zero subscription fees</w:t>
            </w:r>
          </w:p>
        </w:tc>
      </w:tr>
    </w:tbl>
    <w:p>
      <w:pPr>
        <w:spacing w:after="120"/>
      </w:pPr>
    </w:p>
    <w:p>
      <w:pPr>
        <w:spacing w:before="0" w:after="120" w:line="360" w:lineRule="auto"/>
        <w:ind w:firstLine="720"/>
        <w:jc w:val="both"/>
      </w:pPr>
      <w:r>
        <w:rPr>
          <w:rFonts w:ascii="Times New Roman" w:hAnsi="Times New Roman"/>
          <w:b w:val="0"/>
          <w:color w:val="000000"/>
          <w:sz w:val="24"/>
        </w:rPr>
        <w:t>SolanaWatch addresses these identified gaps by combining localized canopy and soil sensing, literature-grounded disease-risk algorithms for Late Blight and Bacterial Wilt, ESP32 wireless communication, offline MicroSD data buffering, duplicate-free cloud synchronization, and a solar-assisted LiFePO₄ power subsystem into an affordable, open-source decision-support platform designed for small-scale Solanaceae crop production.</w:t>
      </w:r>
    </w:p>
    <w:p>
      <w:pPr>
        <w:keepNext/>
        <w:spacing w:before="360" w:after="160"/>
        <w:jc w:val="center"/>
      </w:pPr>
      <w:r>
        <w:rPr>
          <w:rFonts w:ascii="Times New Roman" w:hAnsi="Times New Roman"/>
          <w:b/>
          <w:sz w:val="28"/>
        </w:rPr>
        <w:t>Chapter 3: Technical Background</w:t>
      </w:r>
    </w:p>
    <w:p>
      <w:pPr>
        <w:keepNext/>
        <w:spacing w:before="280" w:after="120"/>
        <w:jc w:val="left"/>
      </w:pPr>
      <w:r>
        <w:rPr>
          <w:rFonts w:ascii="Times New Roman" w:hAnsi="Times New Roman"/>
          <w:b/>
          <w:sz w:val="26"/>
        </w:rPr>
        <w:t>3.1 Requirements Analysis</w:t>
      </w:r>
    </w:p>
    <w:p>
      <w:pPr>
        <w:spacing w:before="0" w:after="120" w:line="360" w:lineRule="auto"/>
        <w:ind w:firstLine="720"/>
        <w:jc w:val="both"/>
      </w:pPr>
      <w:r>
        <w:rPr>
          <w:rFonts w:ascii="Times New Roman" w:hAnsi="Times New Roman"/>
          <w:b w:val="0"/>
          <w:color w:val="000000"/>
          <w:sz w:val="24"/>
        </w:rPr>
        <w:t xml:space="preserve">This section identifies the system requirements needed for the successful development of </w:t>
      </w:r>
      <w:r>
        <w:rPr>
          <w:rFonts w:ascii="Times New Roman" w:hAnsi="Times New Roman"/>
          <w:b/>
          <w:color w:val="000000"/>
          <w:sz w:val="24"/>
        </w:rPr>
        <w:t>SolanaWatch</w:t>
      </w:r>
      <w:r>
        <w:rPr>
          <w:rFonts w:ascii="Times New Roman" w:hAnsi="Times New Roman"/>
          <w:b w:val="0"/>
          <w:color w:val="000000"/>
          <w:sz w:val="24"/>
        </w:rPr>
        <w:t>, an IoT-based disease early warning system designed for soil-grown Solanaceae crops. These requirements establish the expected capabilities of the proposed system to continuously monitor environmental conditions, assess disease risk, and provide timely information to support preventive crop management. They also serve as the foundation for the design, implementation, and evaluation of both the hardware and software components.</w:t>
      </w:r>
    </w:p>
    <w:p>
      <w:pPr>
        <w:spacing w:before="0" w:after="120" w:line="360" w:lineRule="auto"/>
        <w:ind w:firstLine="720"/>
        <w:jc w:val="both"/>
      </w:pPr>
      <w:r>
        <w:rPr>
          <w:rFonts w:ascii="Times New Roman" w:hAnsi="Times New Roman"/>
          <w:b w:val="0"/>
          <w:color w:val="000000"/>
          <w:sz w:val="24"/>
        </w:rPr>
        <w:t xml:space="preserve">The identified requirements are classified into </w:t>
      </w:r>
      <w:r>
        <w:rPr>
          <w:rFonts w:ascii="Times New Roman" w:hAnsi="Times New Roman"/>
          <w:b/>
          <w:color w:val="000000"/>
          <w:sz w:val="24"/>
        </w:rPr>
        <w:t>Functional Requirements</w:t>
      </w:r>
      <w:r>
        <w:rPr>
          <w:rFonts w:ascii="Times New Roman" w:hAnsi="Times New Roman"/>
          <w:b w:val="0"/>
          <w:color w:val="000000"/>
          <w:sz w:val="24"/>
        </w:rPr>
        <w:t xml:space="preserve"> and </w:t>
      </w:r>
      <w:r>
        <w:rPr>
          <w:rFonts w:ascii="Times New Roman" w:hAnsi="Times New Roman"/>
          <w:b/>
          <w:color w:val="000000"/>
          <w:sz w:val="24"/>
        </w:rPr>
        <w:t>Non-Functional Requirements</w:t>
      </w:r>
      <w:r>
        <w:rPr>
          <w:rFonts w:ascii="Times New Roman" w:hAnsi="Times New Roman"/>
          <w:b w:val="0"/>
          <w:color w:val="000000"/>
          <w:sz w:val="24"/>
        </w:rPr>
        <w:t xml:space="preserve">. Functional requirements specify the core features and services that the system must perform to achieve its intended purpose, while non-functional requirements describe the quality attributes, operational constraints, and performance standards based on </w:t>
      </w:r>
      <w:r>
        <w:rPr>
          <w:rFonts w:ascii="Times New Roman" w:hAnsi="Times New Roman"/>
          <w:b/>
          <w:color w:val="000000"/>
          <w:sz w:val="24"/>
        </w:rPr>
        <w:t>ISO/IEC 25010</w:t>
      </w:r>
      <w:r>
        <w:rPr>
          <w:rFonts w:ascii="Times New Roman" w:hAnsi="Times New Roman"/>
          <w:b w:val="0"/>
          <w:color w:val="000000"/>
          <w:sz w:val="24"/>
        </w:rPr>
        <w:t xml:space="preserve"> that ensure the system remains reliable, secure, efficient, and practical for real-world agricultural use.</w:t>
      </w:r>
    </w:p>
    <w:p>
      <w:pPr>
        <w:keepNext/>
        <w:spacing w:before="200" w:after="80"/>
        <w:jc w:val="left"/>
      </w:pPr>
      <w:r>
        <w:rPr>
          <w:rFonts w:ascii="Times New Roman" w:hAnsi="Times New Roman"/>
          <w:b/>
          <w:sz w:val="24"/>
        </w:rPr>
        <w:t>Functional Requirements (FR)</w:t>
      </w:r>
    </w:p>
    <w:p>
      <w:pPr>
        <w:spacing w:before="0" w:after="120" w:line="360" w:lineRule="auto"/>
        <w:ind w:firstLine="720"/>
        <w:jc w:val="both"/>
      </w:pPr>
      <w:r>
        <w:rPr>
          <w:rFonts w:ascii="Times New Roman" w:hAnsi="Times New Roman"/>
          <w:b w:val="0"/>
          <w:color w:val="000000"/>
          <w:sz w:val="24"/>
        </w:rPr>
        <w:t>The functional requirements define the primary operations that SolanaWatch must perform throughout its hardware, cloud, and web application components. These functions enable the system to gather environmental information, assess disease risk based on predefined thresholds, store monitoring records, and deliver real-time updates to users. Collectively, these capabilities allow the system to continuously monitor field conditions and support early disease prevention for soil-grown Solanaceae crops.</w:t>
      </w:r>
    </w:p>
    <w:p>
      <w:pPr>
        <w:keepNext/>
        <w:spacing w:before="240" w:after="80"/>
        <w:jc w:val="left"/>
      </w:pPr>
      <w:r>
        <w:rPr>
          <w:rFonts w:ascii="Times New Roman" w:hAnsi="Times New Roman"/>
          <w:b/>
          <w:color w:val="000000"/>
          <w:sz w:val="24"/>
        </w:rPr>
        <w:t>Table 4: Functional Requirements of SolanaWatch</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EAEAEA"/>
            <w:tcMar>
              <w:top w:w="80" w:type="dxa"/>
              <w:bottom w:w="80" w:type="dxa"/>
              <w:left w:w="120" w:type="dxa"/>
              <w:right w:w="120" w:type="dxa"/>
            </w:tcMar>
          </w:tcPr>
          <w:p>
            <w:pPr>
              <w:spacing w:before="60" w:after="60" w:line="276" w:lineRule="auto"/>
              <w:jc w:val="left"/>
            </w:pPr>
            <w:r>
              <w:rPr>
                <w:rFonts w:ascii="Times New Roman" w:hAnsi="Times New Roman"/>
                <w:b/>
                <w:color w:val="000000"/>
              </w:rPr>
            </w:r>
            <w:r>
              <w:rPr>
                <w:rFonts w:ascii="Times New Roman" w:hAnsi="Times New Roman"/>
                <w:b/>
                <w:color w:val="000000"/>
                <w:sz w:val="23"/>
              </w:rPr>
              <w:t>ID</w:t>
            </w:r>
          </w:p>
        </w:tc>
        <w:tc>
          <w:tcPr>
            <w:tcW w:type="dxa" w:w="2340"/>
            <w:shd w:fill="EAEAEA"/>
            <w:tcMar>
              <w:top w:w="80" w:type="dxa"/>
              <w:bottom w:w="80" w:type="dxa"/>
              <w:left w:w="120" w:type="dxa"/>
              <w:right w:w="120" w:type="dxa"/>
            </w:tcMar>
          </w:tcPr>
          <w:p>
            <w:pPr>
              <w:spacing w:before="60" w:after="60" w:line="276" w:lineRule="auto"/>
              <w:jc w:val="left"/>
            </w:pPr>
            <w:r>
              <w:rPr>
                <w:rFonts w:ascii="Times New Roman" w:hAnsi="Times New Roman"/>
                <w:b/>
                <w:color w:val="000000"/>
              </w:rPr>
            </w:r>
            <w:r>
              <w:rPr>
                <w:rFonts w:ascii="Times New Roman" w:hAnsi="Times New Roman"/>
                <w:b/>
                <w:color w:val="000000"/>
                <w:sz w:val="23"/>
              </w:rPr>
              <w:t>Functional Requirement</w:t>
            </w:r>
          </w:p>
        </w:tc>
        <w:tc>
          <w:tcPr>
            <w:tcW w:type="dxa" w:w="2340"/>
            <w:shd w:fill="EAEAEA"/>
            <w:tcMar>
              <w:top w:w="80" w:type="dxa"/>
              <w:bottom w:w="80" w:type="dxa"/>
              <w:left w:w="120" w:type="dxa"/>
              <w:right w:w="120" w:type="dxa"/>
            </w:tcMar>
          </w:tcPr>
          <w:p>
            <w:pPr>
              <w:spacing w:before="60" w:after="60" w:line="276" w:lineRule="auto"/>
              <w:jc w:val="left"/>
            </w:pPr>
            <w:r>
              <w:rPr>
                <w:rFonts w:ascii="Times New Roman" w:hAnsi="Times New Roman"/>
                <w:b/>
                <w:color w:val="000000"/>
              </w:rPr>
            </w:r>
            <w:r>
              <w:rPr>
                <w:rFonts w:ascii="Times New Roman" w:hAnsi="Times New Roman"/>
                <w:b/>
                <w:color w:val="000000"/>
                <w:sz w:val="23"/>
              </w:rPr>
              <w:t>Description</w:t>
            </w:r>
          </w:p>
        </w:tc>
        <w:tc>
          <w:tcPr>
            <w:tcW w:type="dxa" w:w="2340"/>
            <w:shd w:fill="EAEAEA"/>
            <w:tcMar>
              <w:top w:w="80" w:type="dxa"/>
              <w:bottom w:w="80" w:type="dxa"/>
              <w:left w:w="120" w:type="dxa"/>
              <w:right w:w="120" w:type="dxa"/>
            </w:tcMar>
          </w:tcPr>
          <w:p>
            <w:pPr>
              <w:spacing w:before="60" w:after="60" w:line="276" w:lineRule="auto"/>
              <w:jc w:val="left"/>
            </w:pPr>
            <w:r>
              <w:rPr>
                <w:rFonts w:ascii="Times New Roman" w:hAnsi="Times New Roman"/>
                <w:b/>
                <w:color w:val="000000"/>
              </w:rPr>
            </w:r>
            <w:r>
              <w:rPr>
                <w:rFonts w:ascii="Times New Roman" w:hAnsi="Times New Roman"/>
                <w:b/>
                <w:color w:val="000000"/>
                <w:sz w:val="23"/>
              </w:rPr>
              <w:t>System Layer</w:t>
            </w:r>
          </w:p>
        </w:tc>
      </w:tr>
      <w:tr>
        <w:tc>
          <w:tcPr>
            <w:tcW w:type="dxa" w:w="234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color w:val="000000"/>
                <w:sz w:val="23"/>
              </w:rPr>
              <w:t>FR-1</w:t>
            </w:r>
          </w:p>
        </w:tc>
        <w:tc>
          <w:tcPr>
            <w:tcW w:type="dxa" w:w="234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3"/>
              </w:rPr>
              <w:t>User Authentication and Authorization</w:t>
            </w:r>
          </w:p>
        </w:tc>
        <w:tc>
          <w:tcPr>
            <w:tcW w:type="dxa" w:w="234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3"/>
              </w:rPr>
              <w:t>The system shall authenticate users and grant access to dashboard functions based on assigned roles and permissions.</w:t>
            </w:r>
          </w:p>
        </w:tc>
        <w:tc>
          <w:tcPr>
            <w:tcW w:type="dxa" w:w="234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3"/>
              </w:rPr>
              <w:t>Web Application / Backend</w:t>
            </w:r>
          </w:p>
        </w:tc>
      </w:tr>
      <w:tr>
        <w:tc>
          <w:tcPr>
            <w:tcW w:type="dxa" w:w="234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color w:val="000000"/>
                <w:sz w:val="23"/>
              </w:rPr>
              <w:t>FR-2</w:t>
            </w:r>
          </w:p>
        </w:tc>
        <w:tc>
          <w:tcPr>
            <w:tcW w:type="dxa" w:w="234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3"/>
              </w:rPr>
              <w:t>Environmental Data Acquisition</w:t>
            </w:r>
          </w:p>
        </w:tc>
        <w:tc>
          <w:tcPr>
            <w:tcW w:type="dxa" w:w="234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3"/>
              </w:rPr>
              <w:t>The system shall periodically collect air temperature, relative humidity, soil temperature, soil moisture, and leaf wetness data from deployed environmental sensors every 15 minutes.</w:t>
            </w:r>
          </w:p>
        </w:tc>
        <w:tc>
          <w:tcPr>
            <w:tcW w:type="dxa" w:w="234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3"/>
              </w:rPr>
              <w:t>ESP32 Edge Node / Sensors</w:t>
            </w:r>
          </w:p>
        </w:tc>
      </w:tr>
      <w:tr>
        <w:tc>
          <w:tcPr>
            <w:tcW w:type="dxa" w:w="234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color w:val="000000"/>
                <w:sz w:val="23"/>
              </w:rPr>
              <w:t>FR-3</w:t>
            </w:r>
          </w:p>
        </w:tc>
        <w:tc>
          <w:tcPr>
            <w:tcW w:type="dxa" w:w="234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3"/>
              </w:rPr>
              <w:t>Local Offline Data Logging</w:t>
            </w:r>
          </w:p>
        </w:tc>
        <w:tc>
          <w:tcPr>
            <w:tcW w:type="dxa" w:w="234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3"/>
              </w:rPr>
              <w:t>The system shall temporarily store environmental sensor readings as timestamped JSON Lines on the MicroSD card whenever internet connectivity is unavailable to prevent data loss.</w:t>
            </w:r>
          </w:p>
        </w:tc>
        <w:tc>
          <w:tcPr>
            <w:tcW w:type="dxa" w:w="234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3"/>
              </w:rPr>
              <w:t>ESP32 Edge Node / MicroSD</w:t>
            </w:r>
          </w:p>
        </w:tc>
      </w:tr>
      <w:tr>
        <w:tc>
          <w:tcPr>
            <w:tcW w:type="dxa" w:w="234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color w:val="000000"/>
                <w:sz w:val="23"/>
              </w:rPr>
              <w:t>FR-4</w:t>
            </w:r>
          </w:p>
        </w:tc>
        <w:tc>
          <w:tcPr>
            <w:tcW w:type="dxa" w:w="234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3"/>
              </w:rPr>
              <w:t>Cloud Data Synchronization and Management</w:t>
            </w:r>
          </w:p>
        </w:tc>
        <w:tc>
          <w:tcPr>
            <w:tcW w:type="dxa" w:w="234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3"/>
              </w:rPr>
              <w:t>The system shall synchronize locally stored environmental readings with the cloud database once internet connectivity is restored and maintain historical records without duplication.</w:t>
            </w:r>
          </w:p>
        </w:tc>
        <w:tc>
          <w:tcPr>
            <w:tcW w:type="dxa" w:w="234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3"/>
              </w:rPr>
              <w:t>ESP32 / Backend / Turso DB</w:t>
            </w:r>
          </w:p>
        </w:tc>
      </w:tr>
      <w:tr>
        <w:tc>
          <w:tcPr>
            <w:tcW w:type="dxa" w:w="234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color w:val="000000"/>
                <w:sz w:val="23"/>
              </w:rPr>
              <w:t>FR-5</w:t>
            </w:r>
          </w:p>
        </w:tc>
        <w:tc>
          <w:tcPr>
            <w:tcW w:type="dxa" w:w="234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3"/>
              </w:rPr>
              <w:t>Disease-Risk Assessment</w:t>
            </w:r>
          </w:p>
        </w:tc>
        <w:tc>
          <w:tcPr>
            <w:tcW w:type="dxa" w:w="234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3"/>
              </w:rPr>
              <w:t>The system shall evaluate collected environmental data against predefined threshold values reported in plant pathology literature to determine the corresponding disease-risk level for Late Blight and Bacterial Wilt.</w:t>
            </w:r>
          </w:p>
        </w:tc>
        <w:tc>
          <w:tcPr>
            <w:tcW w:type="dxa" w:w="234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3"/>
              </w:rPr>
              <w:t>Cloud Backend (Risk Engine)</w:t>
            </w:r>
          </w:p>
        </w:tc>
      </w:tr>
      <w:tr>
        <w:tc>
          <w:tcPr>
            <w:tcW w:type="dxa" w:w="234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color w:val="000000"/>
                <w:sz w:val="23"/>
              </w:rPr>
              <w:t>FR-6</w:t>
            </w:r>
          </w:p>
        </w:tc>
        <w:tc>
          <w:tcPr>
            <w:tcW w:type="dxa" w:w="234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3"/>
              </w:rPr>
              <w:t>Web-Based Monitoring Dashboard</w:t>
            </w:r>
          </w:p>
        </w:tc>
        <w:tc>
          <w:tcPr>
            <w:tcW w:type="dxa" w:w="234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3"/>
              </w:rPr>
              <w:t>The system shall provide authenticated users with a responsive web dashboard for viewing real-time environmental conditions, historical records, disease-risk levels, and device status.</w:t>
            </w:r>
          </w:p>
        </w:tc>
        <w:tc>
          <w:tcPr>
            <w:tcW w:type="dxa" w:w="234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3"/>
              </w:rPr>
              <w:t>React.js Web Dashboard</w:t>
            </w:r>
          </w:p>
        </w:tc>
      </w:tr>
      <w:tr>
        <w:tc>
          <w:tcPr>
            <w:tcW w:type="dxa" w:w="234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color w:val="000000"/>
                <w:sz w:val="23"/>
              </w:rPr>
              <w:t>FR-7</w:t>
            </w:r>
          </w:p>
        </w:tc>
        <w:tc>
          <w:tcPr>
            <w:tcW w:type="dxa" w:w="234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3"/>
              </w:rPr>
              <w:t>Early Warning Notification</w:t>
            </w:r>
          </w:p>
        </w:tc>
        <w:tc>
          <w:tcPr>
            <w:tcW w:type="dxa" w:w="234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3"/>
              </w:rPr>
              <w:t>The system shall generate color-coded early warning visual notifications whenever monitored environmental conditions become favorable for the development of Late Blight or Bacterial Wilt based on predefined threshold values.</w:t>
            </w:r>
          </w:p>
        </w:tc>
        <w:tc>
          <w:tcPr>
            <w:tcW w:type="dxa" w:w="234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3"/>
              </w:rPr>
              <w:t>Backend / Web Dashboard</w:t>
            </w:r>
          </w:p>
        </w:tc>
      </w:tr>
      <w:tr>
        <w:tc>
          <w:tcPr>
            <w:tcW w:type="dxa" w:w="234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color w:val="000000"/>
                <w:sz w:val="23"/>
              </w:rPr>
              <w:t>FR-8</w:t>
            </w:r>
          </w:p>
        </w:tc>
        <w:tc>
          <w:tcPr>
            <w:tcW w:type="dxa" w:w="234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3"/>
              </w:rPr>
              <w:t>Historical Data Visualization</w:t>
            </w:r>
          </w:p>
        </w:tc>
        <w:tc>
          <w:tcPr>
            <w:tcW w:type="dxa" w:w="234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3"/>
              </w:rPr>
              <w:t>The system shall present historical environmental data through interactive graphical time-series and tabular visualizations to support trend analysis and monitoring.</w:t>
            </w:r>
          </w:p>
        </w:tc>
        <w:tc>
          <w:tcPr>
            <w:tcW w:type="dxa" w:w="234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3"/>
              </w:rPr>
              <w:t>React.js Web Dashboard</w:t>
            </w:r>
          </w:p>
        </w:tc>
      </w:tr>
      <w:tr>
        <w:tc>
          <w:tcPr>
            <w:tcW w:type="dxa" w:w="234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color w:val="000000"/>
                <w:sz w:val="23"/>
              </w:rPr>
              <w:t>FR-9</w:t>
            </w:r>
          </w:p>
        </w:tc>
        <w:tc>
          <w:tcPr>
            <w:tcW w:type="dxa" w:w="234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3"/>
              </w:rPr>
              <w:t>Device Status Monitoring</w:t>
            </w:r>
          </w:p>
        </w:tc>
        <w:tc>
          <w:tcPr>
            <w:tcW w:type="dxa" w:w="234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3"/>
              </w:rPr>
              <w:t>The system shall display the operational, power, and connectivity status of the deployed IoT sensing device (battery voltage, Wi-Fi RSSI, solar charging state) to inform users of the system's current condition.</w:t>
            </w:r>
          </w:p>
        </w:tc>
        <w:tc>
          <w:tcPr>
            <w:tcW w:type="dxa" w:w="234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3"/>
              </w:rPr>
              <w:t>ESP32 Firmware / Web Dashboard</w:t>
            </w:r>
          </w:p>
        </w:tc>
      </w:tr>
      <w:tr>
        <w:tc>
          <w:tcPr>
            <w:tcW w:type="dxa" w:w="234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color w:val="000000"/>
                <w:sz w:val="23"/>
              </w:rPr>
              <w:t>FR-10</w:t>
            </w:r>
          </w:p>
        </w:tc>
        <w:tc>
          <w:tcPr>
            <w:tcW w:type="dxa" w:w="234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3"/>
              </w:rPr>
              <w:t>Agronomic Decision Support</w:t>
            </w:r>
          </w:p>
        </w:tc>
        <w:tc>
          <w:tcPr>
            <w:tcW w:type="dxa" w:w="234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3"/>
              </w:rPr>
              <w:t>The system shall provide actionable preventive recommendations corresponding to active disease-risk conditions to assist farmers in timely crop management.</w:t>
            </w:r>
          </w:p>
        </w:tc>
        <w:tc>
          <w:tcPr>
            <w:tcW w:type="dxa" w:w="234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3"/>
              </w:rPr>
              <w:t>React.js Web Dashboard</w:t>
            </w:r>
          </w:p>
        </w:tc>
      </w:tr>
    </w:tbl>
    <w:p>
      <w:pPr>
        <w:spacing w:after="120"/>
      </w:pPr>
    </w:p>
    <w:p>
      <w:pPr>
        <w:keepNext/>
        <w:spacing w:before="200" w:after="80"/>
        <w:jc w:val="left"/>
      </w:pPr>
      <w:r>
        <w:rPr>
          <w:rFonts w:ascii="Times New Roman" w:hAnsi="Times New Roman"/>
          <w:b/>
          <w:sz w:val="24"/>
        </w:rPr>
        <w:t>Non-Functional Requirements (NFR)</w:t>
      </w:r>
    </w:p>
    <w:p>
      <w:pPr>
        <w:spacing w:before="0" w:after="120" w:line="360" w:lineRule="auto"/>
        <w:ind w:firstLine="720"/>
        <w:jc w:val="both"/>
      </w:pPr>
      <w:r>
        <w:rPr>
          <w:rFonts w:ascii="Times New Roman" w:hAnsi="Times New Roman"/>
          <w:b w:val="0"/>
          <w:color w:val="000000"/>
          <w:sz w:val="24"/>
        </w:rPr>
        <w:t xml:space="preserve">The non-functional requirements describe the quality characteristics expected from SolanaWatch during operation based on </w:t>
      </w:r>
      <w:r>
        <w:rPr>
          <w:rFonts w:ascii="Times New Roman" w:hAnsi="Times New Roman"/>
          <w:b/>
          <w:color w:val="000000"/>
          <w:sz w:val="24"/>
        </w:rPr>
        <w:t>ISO/IEC 25010</w:t>
      </w:r>
      <w:r>
        <w:rPr>
          <w:rFonts w:ascii="Times New Roman" w:hAnsi="Times New Roman"/>
          <w:b w:val="0"/>
          <w:color w:val="000000"/>
          <w:sz w:val="24"/>
        </w:rPr>
        <w:t>. These requirements focus on ensuring that the system performs consistently under normal farming conditions while remaining secure, responsive, maintainable, and easy to use.</w:t>
      </w:r>
    </w:p>
    <w:p>
      <w:pPr>
        <w:keepNext/>
        <w:spacing w:before="240" w:after="80"/>
        <w:jc w:val="left"/>
      </w:pPr>
      <w:r>
        <w:rPr>
          <w:rFonts w:ascii="Times New Roman" w:hAnsi="Times New Roman"/>
          <w:b/>
          <w:color w:val="000000"/>
          <w:sz w:val="24"/>
        </w:rPr>
        <w:t>Table 5: Non-Functional Requirements (ISO/IEC 25010)</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EAEAEA"/>
            <w:tcMar>
              <w:top w:w="80" w:type="dxa"/>
              <w:bottom w:w="80" w:type="dxa"/>
              <w:left w:w="120" w:type="dxa"/>
              <w:right w:w="120" w:type="dxa"/>
            </w:tcMar>
          </w:tcPr>
          <w:p>
            <w:pPr>
              <w:spacing w:before="60" w:after="60" w:line="276" w:lineRule="auto"/>
              <w:jc w:val="left"/>
            </w:pPr>
            <w:r>
              <w:rPr>
                <w:rFonts w:ascii="Times New Roman" w:hAnsi="Times New Roman"/>
                <w:b/>
                <w:color w:val="000000"/>
              </w:rPr>
            </w:r>
            <w:r>
              <w:rPr>
                <w:rFonts w:ascii="Times New Roman" w:hAnsi="Times New Roman"/>
                <w:b/>
                <w:color w:val="000000"/>
                <w:sz w:val="23"/>
              </w:rPr>
              <w:t>ID</w:t>
            </w:r>
          </w:p>
        </w:tc>
        <w:tc>
          <w:tcPr>
            <w:tcW w:type="dxa" w:w="2340"/>
            <w:shd w:fill="EAEAEA"/>
            <w:tcMar>
              <w:top w:w="80" w:type="dxa"/>
              <w:bottom w:w="80" w:type="dxa"/>
              <w:left w:w="120" w:type="dxa"/>
              <w:right w:w="120" w:type="dxa"/>
            </w:tcMar>
          </w:tcPr>
          <w:p>
            <w:pPr>
              <w:spacing w:before="60" w:after="60" w:line="276" w:lineRule="auto"/>
              <w:jc w:val="left"/>
            </w:pPr>
            <w:r>
              <w:rPr>
                <w:rFonts w:ascii="Times New Roman" w:hAnsi="Times New Roman"/>
                <w:b/>
                <w:color w:val="000000"/>
              </w:rPr>
            </w:r>
            <w:r>
              <w:rPr>
                <w:rFonts w:ascii="Times New Roman" w:hAnsi="Times New Roman"/>
                <w:b/>
                <w:color w:val="000000"/>
                <w:sz w:val="23"/>
              </w:rPr>
              <w:t>Non-Functional Requirement</w:t>
            </w:r>
          </w:p>
        </w:tc>
        <w:tc>
          <w:tcPr>
            <w:tcW w:type="dxa" w:w="2340"/>
            <w:shd w:fill="EAEAEA"/>
            <w:tcMar>
              <w:top w:w="80" w:type="dxa"/>
              <w:bottom w:w="80" w:type="dxa"/>
              <w:left w:w="120" w:type="dxa"/>
              <w:right w:w="120" w:type="dxa"/>
            </w:tcMar>
          </w:tcPr>
          <w:p>
            <w:pPr>
              <w:spacing w:before="60" w:after="60" w:line="276" w:lineRule="auto"/>
              <w:jc w:val="left"/>
            </w:pPr>
            <w:r>
              <w:rPr>
                <w:rFonts w:ascii="Times New Roman" w:hAnsi="Times New Roman"/>
                <w:b/>
                <w:color w:val="000000"/>
              </w:rPr>
            </w:r>
            <w:r>
              <w:rPr>
                <w:rFonts w:ascii="Times New Roman" w:hAnsi="Times New Roman"/>
                <w:b/>
                <w:color w:val="000000"/>
                <w:sz w:val="23"/>
              </w:rPr>
              <w:t>Description</w:t>
            </w:r>
          </w:p>
        </w:tc>
        <w:tc>
          <w:tcPr>
            <w:tcW w:type="dxa" w:w="2340"/>
            <w:shd w:fill="EAEAEA"/>
            <w:tcMar>
              <w:top w:w="80" w:type="dxa"/>
              <w:bottom w:w="80" w:type="dxa"/>
              <w:left w:w="120" w:type="dxa"/>
              <w:right w:w="120" w:type="dxa"/>
            </w:tcMar>
          </w:tcPr>
          <w:p>
            <w:pPr>
              <w:spacing w:before="60" w:after="60" w:line="276" w:lineRule="auto"/>
              <w:jc w:val="left"/>
            </w:pPr>
            <w:r>
              <w:rPr>
                <w:rFonts w:ascii="Times New Roman" w:hAnsi="Times New Roman"/>
                <w:b/>
                <w:color w:val="000000"/>
              </w:rPr>
            </w:r>
            <w:r>
              <w:rPr>
                <w:rFonts w:ascii="Times New Roman" w:hAnsi="Times New Roman"/>
                <w:b/>
                <w:color w:val="000000"/>
                <w:sz w:val="23"/>
              </w:rPr>
              <w:t>Quality Benchmark / Metric</w:t>
            </w:r>
          </w:p>
        </w:tc>
      </w:tr>
      <w:tr>
        <w:tc>
          <w:tcPr>
            <w:tcW w:type="dxa" w:w="234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color w:val="000000"/>
                <w:sz w:val="23"/>
              </w:rPr>
              <w:t>NFR-1</w:t>
            </w:r>
          </w:p>
        </w:tc>
        <w:tc>
          <w:tcPr>
            <w:tcW w:type="dxa" w:w="234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color w:val="000000"/>
                <w:sz w:val="23"/>
              </w:rPr>
              <w:t>Reliability</w:t>
            </w:r>
          </w:p>
        </w:tc>
        <w:tc>
          <w:tcPr>
            <w:tcW w:type="dxa" w:w="234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3"/>
              </w:rPr>
              <w:t>The system shall continuously collect and store environmental sensor readings while automatically recovering from temporary internet interruptions through offline data logging and cloud synchronization.</w:t>
            </w:r>
          </w:p>
        </w:tc>
        <w:tc>
          <w:tcPr>
            <w:tcW w:type="dxa" w:w="234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3"/>
              </w:rPr>
              <w:t>≥ 99.0% data collection uptime; automatic Hardware Watchdog Timer (WDT) recovery within 5 seconds.</w:t>
            </w:r>
          </w:p>
        </w:tc>
      </w:tr>
      <w:tr>
        <w:tc>
          <w:tcPr>
            <w:tcW w:type="dxa" w:w="234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color w:val="000000"/>
                <w:sz w:val="23"/>
              </w:rPr>
              <w:t>NFR-2</w:t>
            </w:r>
          </w:p>
        </w:tc>
        <w:tc>
          <w:tcPr>
            <w:tcW w:type="dxa" w:w="234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color w:val="000000"/>
                <w:sz w:val="23"/>
              </w:rPr>
              <w:t>Performance Efficiency</w:t>
            </w:r>
          </w:p>
        </w:tc>
        <w:tc>
          <w:tcPr>
            <w:tcW w:type="dxa" w:w="234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3"/>
              </w:rPr>
              <w:t>The system shall process environmental sensor readings and update the web-based dashboard within an acceptable response time to support near real-time environmental monitoring.</w:t>
            </w:r>
          </w:p>
        </w:tc>
        <w:tc>
          <w:tcPr>
            <w:tcW w:type="dxa" w:w="234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3"/>
              </w:rPr>
              <w:t>End-to-end telemetry propagation latency &lt; 2.0 seconds; page load time &lt; 1.5 seconds.</w:t>
            </w:r>
          </w:p>
        </w:tc>
      </w:tr>
      <w:tr>
        <w:tc>
          <w:tcPr>
            <w:tcW w:type="dxa" w:w="234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color w:val="000000"/>
                <w:sz w:val="23"/>
              </w:rPr>
              <w:t>NFR-3</w:t>
            </w:r>
          </w:p>
        </w:tc>
        <w:tc>
          <w:tcPr>
            <w:tcW w:type="dxa" w:w="234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color w:val="000000"/>
                <w:sz w:val="23"/>
              </w:rPr>
              <w:t>Usability</w:t>
            </w:r>
          </w:p>
        </w:tc>
        <w:tc>
          <w:tcPr>
            <w:tcW w:type="dxa" w:w="234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3"/>
              </w:rPr>
              <w:t>The system shall provide a responsive and user-friendly web interface that enables farmers and technicians to monitor environmental conditions, historical records, and disease alerts with minimal technical training.</w:t>
            </w:r>
          </w:p>
        </w:tc>
        <w:tc>
          <w:tcPr>
            <w:tcW w:type="dxa" w:w="234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3"/>
              </w:rPr>
              <w:t>System Usability Scale (SUS) score ≥ 80.0 during User Acceptance Testing (UAT).</w:t>
            </w:r>
          </w:p>
        </w:tc>
      </w:tr>
      <w:tr>
        <w:tc>
          <w:tcPr>
            <w:tcW w:type="dxa" w:w="234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color w:val="000000"/>
                <w:sz w:val="23"/>
              </w:rPr>
              <w:t>NFR-4</w:t>
            </w:r>
          </w:p>
        </w:tc>
        <w:tc>
          <w:tcPr>
            <w:tcW w:type="dxa" w:w="234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color w:val="000000"/>
                <w:sz w:val="23"/>
              </w:rPr>
              <w:t>Security</w:t>
            </w:r>
          </w:p>
        </w:tc>
        <w:tc>
          <w:tcPr>
            <w:tcW w:type="dxa" w:w="234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3"/>
              </w:rPr>
              <w:t>The system shall protect user accounts through cryptographic password hashing (Argon2/Bcrypt) and role-based authorization, restricting administrative access to authorized users only over HTTPS/TLS 1.3.</w:t>
            </w:r>
          </w:p>
        </w:tc>
        <w:tc>
          <w:tcPr>
            <w:tcW w:type="dxa" w:w="234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3"/>
              </w:rPr>
              <w:t>Zero plaintext credential storage; secure session token validation.</w:t>
            </w:r>
          </w:p>
        </w:tc>
      </w:tr>
      <w:tr>
        <w:tc>
          <w:tcPr>
            <w:tcW w:type="dxa" w:w="234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color w:val="000000"/>
                <w:sz w:val="23"/>
              </w:rPr>
              <w:t>NFR-5</w:t>
            </w:r>
          </w:p>
        </w:tc>
        <w:tc>
          <w:tcPr>
            <w:tcW w:type="dxa" w:w="234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color w:val="000000"/>
                <w:sz w:val="23"/>
              </w:rPr>
              <w:t>Environmental &amp; Power Resilience</w:t>
            </w:r>
          </w:p>
        </w:tc>
        <w:tc>
          <w:tcPr>
            <w:tcW w:type="dxa" w:w="234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3"/>
              </w:rPr>
              <w:t>The physical sensing node shall withstand outdoor agricultural exposure (heat, rain, dust) and operate continuously on solar power without utility grid electricity.</w:t>
            </w:r>
          </w:p>
        </w:tc>
        <w:tc>
          <w:tcPr>
            <w:tcW w:type="dxa" w:w="234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3"/>
              </w:rPr>
              <w:t xml:space="preserve">Minimum </w:t>
            </w:r>
            <w:r>
              <w:rPr>
                <w:rFonts w:ascii="Times New Roman" w:hAnsi="Times New Roman"/>
                <w:b/>
                <w:color w:val="000000"/>
                <w:sz w:val="23"/>
              </w:rPr>
              <w:t>3 Days of Zero-Sunlight Battery Autonomy</w:t>
            </w:r>
            <w:r>
              <w:rPr>
                <w:rFonts w:ascii="Times New Roman" w:hAnsi="Times New Roman"/>
                <w:b w:val="0"/>
                <w:color w:val="000000"/>
                <w:sz w:val="23"/>
              </w:rPr>
              <w:t>; IP65/IP66 weatherproof enclosure rating.</w:t>
            </w:r>
          </w:p>
        </w:tc>
      </w:tr>
      <w:tr>
        <w:tc>
          <w:tcPr>
            <w:tcW w:type="dxa" w:w="234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color w:val="000000"/>
                <w:sz w:val="23"/>
              </w:rPr>
              <w:t>NFR-6</w:t>
            </w:r>
          </w:p>
        </w:tc>
        <w:tc>
          <w:tcPr>
            <w:tcW w:type="dxa" w:w="234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color w:val="000000"/>
                <w:sz w:val="23"/>
              </w:rPr>
              <w:t>Interoperability &amp; Compatibility</w:t>
            </w:r>
          </w:p>
        </w:tc>
        <w:tc>
          <w:tcPr>
            <w:tcW w:type="dxa" w:w="234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3"/>
              </w:rPr>
              <w:t>The edge node shall reliably communicate across mixed hardware buses (1-Wire, I2C, SPI, RS485 Modbus, Wi-Fi) without signal collision.</w:t>
            </w:r>
          </w:p>
        </w:tc>
        <w:tc>
          <w:tcPr>
            <w:tcW w:type="dxa" w:w="234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3"/>
              </w:rPr>
              <w:t>100% RS485 CRC checksum verification; zero bus contention errors.</w:t>
            </w:r>
          </w:p>
        </w:tc>
      </w:tr>
    </w:tbl>
    <w:p>
      <w:pPr>
        <w:spacing w:after="120"/>
      </w:pPr>
    </w:p>
    <w:p>
      <w:pPr>
        <w:keepNext/>
        <w:spacing w:before="200" w:after="80"/>
        <w:jc w:val="left"/>
      </w:pPr>
      <w:r>
        <w:rPr>
          <w:rFonts w:ascii="Times New Roman" w:hAnsi="Times New Roman"/>
          <w:b/>
          <w:sz w:val="24"/>
        </w:rPr>
        <w:t>System Requirements</w:t>
      </w:r>
    </w:p>
    <w:p>
      <w:pPr>
        <w:spacing w:before="0" w:after="120" w:line="360" w:lineRule="auto"/>
        <w:ind w:firstLine="720"/>
        <w:jc w:val="both"/>
      </w:pPr>
      <w:r>
        <w:rPr>
          <w:rFonts w:ascii="Times New Roman" w:hAnsi="Times New Roman"/>
          <w:b w:val="0"/>
          <w:color w:val="000000"/>
          <w:sz w:val="24"/>
        </w:rPr>
        <w:t>This section presents the hardware and software resources required to develop and operate the proposed SolanaWatch system.</w:t>
      </w:r>
    </w:p>
    <w:p>
      <w:pPr>
        <w:keepNext/>
        <w:spacing w:before="160" w:after="60"/>
      </w:pPr>
      <w:r>
        <w:rPr>
          <w:rFonts w:ascii="Times New Roman" w:hAnsi="Times New Roman"/>
          <w:b/>
          <w:sz w:val="24"/>
        </w:rPr>
        <w:t>Table 6: Hardware Bill of Materials &amp; System Requirements for Developers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EAEAEA"/>
            <w:tcMar>
              <w:top w:w="80" w:type="dxa"/>
              <w:bottom w:w="80" w:type="dxa"/>
              <w:left w:w="120" w:type="dxa"/>
              <w:right w:w="120" w:type="dxa"/>
            </w:tcMar>
          </w:tcPr>
          <w:p>
            <w:pPr>
              <w:spacing w:before="60" w:after="60" w:line="276" w:lineRule="auto"/>
              <w:jc w:val="left"/>
            </w:pPr>
            <w:r>
              <w:rPr>
                <w:rFonts w:ascii="Times New Roman" w:hAnsi="Times New Roman"/>
                <w:b/>
                <w:color w:val="000000"/>
              </w:rPr>
            </w:r>
            <w:r>
              <w:rPr>
                <w:rFonts w:ascii="Times New Roman" w:hAnsi="Times New Roman"/>
                <w:b/>
                <w:color w:val="000000"/>
                <w:sz w:val="21"/>
              </w:rPr>
              <w:t>Category</w:t>
            </w:r>
          </w:p>
        </w:tc>
        <w:tc>
          <w:tcPr>
            <w:tcW w:type="dxa" w:w="1872"/>
            <w:shd w:fill="EAEAEA"/>
            <w:tcMar>
              <w:top w:w="80" w:type="dxa"/>
              <w:bottom w:w="80" w:type="dxa"/>
              <w:left w:w="120" w:type="dxa"/>
              <w:right w:w="120" w:type="dxa"/>
            </w:tcMar>
          </w:tcPr>
          <w:p>
            <w:pPr>
              <w:spacing w:before="60" w:after="60" w:line="276" w:lineRule="auto"/>
              <w:jc w:val="left"/>
            </w:pPr>
            <w:r>
              <w:rPr>
                <w:rFonts w:ascii="Times New Roman" w:hAnsi="Times New Roman"/>
                <w:b/>
                <w:color w:val="000000"/>
              </w:rPr>
            </w:r>
            <w:r>
              <w:rPr>
                <w:rFonts w:ascii="Times New Roman" w:hAnsi="Times New Roman"/>
                <w:b/>
                <w:color w:val="000000"/>
                <w:sz w:val="21"/>
              </w:rPr>
              <w:t>Component / Tool</w:t>
            </w:r>
          </w:p>
        </w:tc>
        <w:tc>
          <w:tcPr>
            <w:tcW w:type="dxa" w:w="1872"/>
            <w:shd w:fill="EAEAEA"/>
            <w:tcMar>
              <w:top w:w="80" w:type="dxa"/>
              <w:bottom w:w="80" w:type="dxa"/>
              <w:left w:w="120" w:type="dxa"/>
              <w:right w:w="120" w:type="dxa"/>
            </w:tcMar>
          </w:tcPr>
          <w:p>
            <w:pPr>
              <w:spacing w:before="60" w:after="60" w:line="276" w:lineRule="auto"/>
              <w:jc w:val="left"/>
            </w:pPr>
            <w:r>
              <w:rPr>
                <w:rFonts w:ascii="Times New Roman" w:hAnsi="Times New Roman"/>
                <w:b/>
                <w:color w:val="000000"/>
              </w:rPr>
            </w:r>
            <w:r>
              <w:rPr>
                <w:rFonts w:ascii="Times New Roman" w:hAnsi="Times New Roman"/>
                <w:b/>
                <w:color w:val="000000"/>
                <w:sz w:val="21"/>
              </w:rPr>
              <w:t>Qty</w:t>
            </w:r>
          </w:p>
        </w:tc>
        <w:tc>
          <w:tcPr>
            <w:tcW w:type="dxa" w:w="1872"/>
            <w:shd w:fill="EAEAEA"/>
            <w:tcMar>
              <w:top w:w="80" w:type="dxa"/>
              <w:bottom w:w="80" w:type="dxa"/>
              <w:left w:w="120" w:type="dxa"/>
              <w:right w:w="120" w:type="dxa"/>
            </w:tcMar>
          </w:tcPr>
          <w:p>
            <w:pPr>
              <w:spacing w:before="60" w:after="60" w:line="276" w:lineRule="auto"/>
              <w:jc w:val="left"/>
            </w:pPr>
            <w:r>
              <w:rPr>
                <w:rFonts w:ascii="Times New Roman" w:hAnsi="Times New Roman"/>
                <w:b/>
                <w:color w:val="000000"/>
              </w:rPr>
            </w:r>
            <w:r>
              <w:rPr>
                <w:rFonts w:ascii="Times New Roman" w:hAnsi="Times New Roman"/>
                <w:b/>
                <w:color w:val="000000"/>
                <w:sz w:val="21"/>
              </w:rPr>
              <w:t>Exact Part Number / Specifications</w:t>
            </w:r>
          </w:p>
        </w:tc>
        <w:tc>
          <w:tcPr>
            <w:tcW w:type="dxa" w:w="1872"/>
            <w:shd w:fill="EAEAEA"/>
            <w:tcMar>
              <w:top w:w="80" w:type="dxa"/>
              <w:bottom w:w="80" w:type="dxa"/>
              <w:left w:w="120" w:type="dxa"/>
              <w:right w:w="120" w:type="dxa"/>
            </w:tcMar>
          </w:tcPr>
          <w:p>
            <w:pPr>
              <w:spacing w:before="60" w:after="60" w:line="276" w:lineRule="auto"/>
              <w:jc w:val="left"/>
            </w:pPr>
            <w:r>
              <w:rPr>
                <w:rFonts w:ascii="Times New Roman" w:hAnsi="Times New Roman"/>
                <w:b/>
                <w:color w:val="000000"/>
              </w:rPr>
            </w:r>
            <w:r>
              <w:rPr>
                <w:rFonts w:ascii="Times New Roman" w:hAnsi="Times New Roman"/>
                <w:b/>
                <w:color w:val="000000"/>
                <w:sz w:val="21"/>
              </w:rPr>
              <w:t>Unit Cost (PHP)</w:t>
            </w:r>
          </w:p>
        </w:tc>
      </w:tr>
      <w:tr>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color w:val="000000"/>
                <w:sz w:val="21"/>
              </w:rPr>
              <w:t>Microcontroller</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ESP32 DevKit V1</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1</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ESP32-WROOM-32, 32-bit Dual-Core 240MHz, 520KB SRAM, 4MB Flash, 2.4GHz Wi-Fi/BT</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₱350.00</w:t>
            </w:r>
          </w:p>
        </w:tc>
      </w:tr>
      <w:tr>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color w:val="000000"/>
                <w:sz w:val="21"/>
              </w:rPr>
              <w:t>Sensors</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DHT22 Temp &amp; Humidity</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1</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AM2302, Amb. Temp (-40 to +80°C ±0.5°C), Rel. Humidity (0–100% ±2% to 5% RH)</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₱200.00</w:t>
            </w:r>
          </w:p>
        </w:tc>
      </w:tr>
      <w:tr>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color w:val="000000"/>
                <w:sz w:val="21"/>
              </w:rPr>
              <w:t>Sensor Housing</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Stevenson Radiation Shield</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1</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Louvered multi-plate solar radiation shield, UV-stabilized ABS, passive airflow shelter</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₱350.00</w:t>
            </w:r>
          </w:p>
        </w:tc>
      </w:tr>
      <w:tr>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color w:val="000000"/>
                <w:sz w:val="21"/>
              </w:rPr>
              <w:t>Sensors</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DS18B20 Temp Probe</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1</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Waterproof stainless-steel probe, 1-Wire bus, -55°C to +125°C (±0.5°C accuracy)</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₱99.00</w:t>
            </w:r>
          </w:p>
        </w:tc>
      </w:tr>
      <w:tr>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color w:val="000000"/>
                <w:sz w:val="21"/>
              </w:rPr>
              <w:t>Sensors</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Capacitive Soil Moisture v1.2</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1</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SKU: SEN0193, corrosion-resistant insulated PCB, Analog output 0.0–3.0V DC</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₱150.00</w:t>
            </w:r>
          </w:p>
        </w:tc>
      </w:tr>
      <w:tr>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color w:val="000000"/>
                <w:sz w:val="21"/>
              </w:rPr>
              <w:t>Sensors</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Industrial Leaf Wetness Sensor</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1</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IP68 waterproof dielectric leaf grid, Modbus-RTU protocol over RS485, 7–24V DC input</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₱2,450.00</w:t>
            </w:r>
          </w:p>
        </w:tc>
      </w:tr>
      <w:tr>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color w:val="000000"/>
                <w:sz w:val="21"/>
              </w:rPr>
              <w:t>Interface</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MAX485 / SP3485 Converter</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1</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TTL to RS485 differential converter module, 3.3V/5V compatible logic</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₱50.00</w:t>
            </w:r>
          </w:p>
        </w:tc>
      </w:tr>
      <w:tr>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color w:val="000000"/>
                <w:sz w:val="21"/>
              </w:rPr>
              <w:t>Storage</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MicroSD Module + 16GB Card</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1</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SPI Interface, FAT32 filesystem support, offline logging buffer</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₱210.00</w:t>
            </w:r>
          </w:p>
        </w:tc>
      </w:tr>
      <w:tr>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color w:val="000000"/>
                <w:sz w:val="21"/>
              </w:rPr>
              <w:t>Power</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20W 12V Solar Panel</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1</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Monocrystalline PV panel (Vmp = 18.0V, Imp = 1.11A), anodized aluminum frame</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₱850.00</w:t>
            </w:r>
          </w:p>
        </w:tc>
      </w:tr>
      <w:tr>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color w:val="000000"/>
                <w:sz w:val="21"/>
              </w:rPr>
              <w:t>Power</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12V 10A MPPT Charge Controller</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1</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IP67 waterproof, LiFePO4 multi-stage charging algorithm, MPPT efficiency ≥ 98%</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₱1,250.00</w:t>
            </w:r>
          </w:p>
        </w:tc>
      </w:tr>
      <w:tr>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color w:val="000000"/>
                <w:sz w:val="21"/>
              </w:rPr>
              <w:t>Power</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12.8V 12Ah LiFePO₄ Battery</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1</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12.8V, 12Ah (153.6 Wh), built-in 15A BMS (Overcharge/Over-discharge/Short-circuit protection)</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₱2,499.00</w:t>
            </w:r>
          </w:p>
        </w:tc>
      </w:tr>
      <w:tr>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color w:val="000000"/>
                <w:sz w:val="21"/>
              </w:rPr>
              <w:t>Power</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DC-DC Step-Down Buck Converters</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2</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LM2596 / MP1584 buck modules, 12V-to-5V (3A) and 12V-to-3.3V (2A), efficiency 88%</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₱140.00</w:t>
            </w:r>
          </w:p>
        </w:tc>
      </w:tr>
      <w:tr>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color w:val="000000"/>
                <w:sz w:val="21"/>
              </w:rPr>
              <w:t>Enclosure</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Weatherproof Enclosure Box</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1</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IP65 / IP66 Polycarbonate junction box (200 × 150 × 100 mm), silicone gasket, latches</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₱280.00</w:t>
            </w:r>
          </w:p>
        </w:tc>
      </w:tr>
      <w:tr>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color w:val="000000"/>
                <w:sz w:val="21"/>
              </w:rPr>
              <w:t>Hardware</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Cable Glands &amp; Field Mast</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1 set</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PG7/PG9 waterproof cable glands, 1.5m galvanized steel field mounting pole bracket</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₱129.00</w:t>
            </w:r>
          </w:p>
        </w:tc>
      </w:tr>
      <w:tr>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color w:val="000000"/>
                <w:sz w:val="21"/>
              </w:rPr>
              <w:t>Prototyping</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Custom Fabricated PCB Shield</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1</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Double-sided FR-4 PCB, screw terminals, soldered pin headers, continuous ground plane</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₱250.00</w:t>
            </w:r>
          </w:p>
        </w:tc>
      </w:tr>
      <w:tr>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color w:val="000000"/>
                <w:sz w:val="21"/>
              </w:rPr>
              <w:t>Total Hardware Cost</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color w:val="000000"/>
                <w:sz w:val="21"/>
              </w:rPr>
              <w:t>₱7,208.00</w:t>
            </w:r>
          </w:p>
        </w:tc>
      </w:tr>
    </w:tbl>
    <w:p>
      <w:pPr>
        <w:spacing w:after="120"/>
      </w:pPr>
    </w:p>
    <w:p>
      <w:pPr>
        <w:keepNext/>
        <w:spacing w:before="160" w:after="60"/>
      </w:pPr>
      <w:r>
        <w:rPr>
          <w:rFonts w:ascii="Times New Roman" w:hAnsi="Times New Roman"/>
          <w:b/>
          <w:sz w:val="24"/>
        </w:rPr>
        <w:t>Table 7: Preferred and Alternative Hardware Components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EAEAEA"/>
            <w:tcMar>
              <w:top w:w="80" w:type="dxa"/>
              <w:bottom w:w="80" w:type="dxa"/>
              <w:left w:w="120" w:type="dxa"/>
              <w:right w:w="120" w:type="dxa"/>
            </w:tcMar>
          </w:tcPr>
          <w:p>
            <w:pPr>
              <w:spacing w:before="60" w:after="60" w:line="276" w:lineRule="auto"/>
              <w:jc w:val="left"/>
            </w:pPr>
            <w:r>
              <w:rPr>
                <w:rFonts w:ascii="Times New Roman" w:hAnsi="Times New Roman"/>
                <w:b/>
                <w:color w:val="000000"/>
              </w:rPr>
            </w:r>
            <w:r>
              <w:rPr>
                <w:rFonts w:ascii="Times New Roman" w:hAnsi="Times New Roman"/>
                <w:b/>
                <w:color w:val="000000"/>
                <w:sz w:val="23"/>
              </w:rPr>
              <w:t>Category</w:t>
            </w:r>
          </w:p>
        </w:tc>
        <w:tc>
          <w:tcPr>
            <w:tcW w:type="dxa" w:w="2340"/>
            <w:shd w:fill="EAEAEA"/>
            <w:tcMar>
              <w:top w:w="80" w:type="dxa"/>
              <w:bottom w:w="80" w:type="dxa"/>
              <w:left w:w="120" w:type="dxa"/>
              <w:right w:w="120" w:type="dxa"/>
            </w:tcMar>
          </w:tcPr>
          <w:p>
            <w:pPr>
              <w:spacing w:before="60" w:after="60" w:line="276" w:lineRule="auto"/>
              <w:jc w:val="left"/>
            </w:pPr>
            <w:r>
              <w:rPr>
                <w:rFonts w:ascii="Times New Roman" w:hAnsi="Times New Roman"/>
                <w:b/>
                <w:color w:val="000000"/>
              </w:rPr>
            </w:r>
            <w:r>
              <w:rPr>
                <w:rFonts w:ascii="Times New Roman" w:hAnsi="Times New Roman"/>
                <w:b/>
                <w:color w:val="000000"/>
                <w:sz w:val="23"/>
              </w:rPr>
              <w:t>Preferred Component</w:t>
            </w:r>
          </w:p>
        </w:tc>
        <w:tc>
          <w:tcPr>
            <w:tcW w:type="dxa" w:w="2340"/>
            <w:shd w:fill="EAEAEA"/>
            <w:tcMar>
              <w:top w:w="80" w:type="dxa"/>
              <w:bottom w:w="80" w:type="dxa"/>
              <w:left w:w="120" w:type="dxa"/>
              <w:right w:w="120" w:type="dxa"/>
            </w:tcMar>
          </w:tcPr>
          <w:p>
            <w:pPr>
              <w:spacing w:before="60" w:after="60" w:line="276" w:lineRule="auto"/>
              <w:jc w:val="left"/>
            </w:pPr>
            <w:r>
              <w:rPr>
                <w:rFonts w:ascii="Times New Roman" w:hAnsi="Times New Roman"/>
                <w:b/>
                <w:color w:val="000000"/>
              </w:rPr>
            </w:r>
            <w:r>
              <w:rPr>
                <w:rFonts w:ascii="Times New Roman" w:hAnsi="Times New Roman"/>
                <w:b/>
                <w:color w:val="000000"/>
                <w:sz w:val="23"/>
              </w:rPr>
              <w:t>Alternative Component</w:t>
            </w:r>
          </w:p>
        </w:tc>
        <w:tc>
          <w:tcPr>
            <w:tcW w:type="dxa" w:w="2340"/>
            <w:shd w:fill="EAEAEA"/>
            <w:tcMar>
              <w:top w:w="80" w:type="dxa"/>
              <w:bottom w:w="80" w:type="dxa"/>
              <w:left w:w="120" w:type="dxa"/>
              <w:right w:w="120" w:type="dxa"/>
            </w:tcMar>
          </w:tcPr>
          <w:p>
            <w:pPr>
              <w:spacing w:before="60" w:after="60" w:line="276" w:lineRule="auto"/>
              <w:jc w:val="left"/>
            </w:pPr>
            <w:r>
              <w:rPr>
                <w:rFonts w:ascii="Times New Roman" w:hAnsi="Times New Roman"/>
                <w:b/>
                <w:color w:val="000000"/>
              </w:rPr>
            </w:r>
            <w:r>
              <w:rPr>
                <w:rFonts w:ascii="Times New Roman" w:hAnsi="Times New Roman"/>
                <w:b/>
                <w:color w:val="000000"/>
                <w:sz w:val="23"/>
              </w:rPr>
              <w:t>Basis for Selection / Trade-Off</w:t>
            </w:r>
          </w:p>
        </w:tc>
      </w:tr>
      <w:tr>
        <w:tc>
          <w:tcPr>
            <w:tcW w:type="dxa" w:w="234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color w:val="000000"/>
                <w:sz w:val="23"/>
              </w:rPr>
              <w:t>Microcontroller</w:t>
            </w:r>
          </w:p>
        </w:tc>
        <w:tc>
          <w:tcPr>
            <w:tcW w:type="dxa" w:w="234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3"/>
              </w:rPr>
              <w:t>ESP32 DevKit V1</w:t>
            </w:r>
          </w:p>
        </w:tc>
        <w:tc>
          <w:tcPr>
            <w:tcW w:type="dxa" w:w="234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3"/>
              </w:rPr>
              <w:t>Raspberry Pi Pico W</w:t>
            </w:r>
          </w:p>
        </w:tc>
        <w:tc>
          <w:tcPr>
            <w:tcW w:type="dxa" w:w="234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3"/>
              </w:rPr>
              <w:t>ESP32 has dual-core architecture, mature FreeRTOS, and rich hardware UART/SPI channels; Pico W has fewer hardware serial ports.</w:t>
            </w:r>
          </w:p>
        </w:tc>
      </w:tr>
      <w:tr>
        <w:tc>
          <w:tcPr>
            <w:tcW w:type="dxa" w:w="234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color w:val="000000"/>
                <w:sz w:val="23"/>
              </w:rPr>
              <w:t>Ambient Air Sensing</w:t>
            </w:r>
          </w:p>
        </w:tc>
        <w:tc>
          <w:tcPr>
            <w:tcW w:type="dxa" w:w="234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3"/>
              </w:rPr>
              <w:t>DHT22 / AM2302</w:t>
            </w:r>
          </w:p>
        </w:tc>
        <w:tc>
          <w:tcPr>
            <w:tcW w:type="dxa" w:w="234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3"/>
              </w:rPr>
              <w:t>Bosch BME280</w:t>
            </w:r>
          </w:p>
        </w:tc>
        <w:tc>
          <w:tcPr>
            <w:tcW w:type="dxa" w:w="234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3"/>
              </w:rPr>
              <w:t>BME280 includes barometric pressure which is not needed for disease modeling; DHT22 provides dedicated high-accuracy RH and Temp at lower cost.</w:t>
            </w:r>
          </w:p>
        </w:tc>
      </w:tr>
      <w:tr>
        <w:tc>
          <w:tcPr>
            <w:tcW w:type="dxa" w:w="234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color w:val="000000"/>
                <w:sz w:val="23"/>
              </w:rPr>
              <w:t>Soil Temperature</w:t>
            </w:r>
          </w:p>
        </w:tc>
        <w:tc>
          <w:tcPr>
            <w:tcW w:type="dxa" w:w="234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3"/>
              </w:rPr>
              <w:t>DS18B20 Digital Probe</w:t>
            </w:r>
          </w:p>
        </w:tc>
        <w:tc>
          <w:tcPr>
            <w:tcW w:type="dxa" w:w="234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3"/>
              </w:rPr>
              <w:t>Analog NTC Thermistor</w:t>
            </w:r>
          </w:p>
        </w:tc>
        <w:tc>
          <w:tcPr>
            <w:tcW w:type="dxa" w:w="234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3"/>
              </w:rPr>
              <w:t>DS18B20 uses digital 1-Wire protocol immune to cable resistance voltage drops; analog thermistors require precision voltage dividers and calibration.</w:t>
            </w:r>
          </w:p>
        </w:tc>
      </w:tr>
      <w:tr>
        <w:tc>
          <w:tcPr>
            <w:tcW w:type="dxa" w:w="234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color w:val="000000"/>
                <w:sz w:val="23"/>
              </w:rPr>
              <w:t>Soil Moisture</w:t>
            </w:r>
          </w:p>
        </w:tc>
        <w:tc>
          <w:tcPr>
            <w:tcW w:type="dxa" w:w="234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3"/>
              </w:rPr>
              <w:t>Capacitive Moisture v1.2</w:t>
            </w:r>
          </w:p>
        </w:tc>
        <w:tc>
          <w:tcPr>
            <w:tcW w:type="dxa" w:w="234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3"/>
              </w:rPr>
              <w:t>Resistive Moisture Probe</w:t>
            </w:r>
          </w:p>
        </w:tc>
        <w:tc>
          <w:tcPr>
            <w:tcW w:type="dxa" w:w="234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3"/>
              </w:rPr>
              <w:t>Resistive probes corrode and fail within weeks of soil burial; capacitive sensors use insulated dielectric sensing for long-term field stability.</w:t>
            </w:r>
          </w:p>
        </w:tc>
      </w:tr>
      <w:tr>
        <w:tc>
          <w:tcPr>
            <w:tcW w:type="dxa" w:w="234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color w:val="000000"/>
                <w:sz w:val="23"/>
              </w:rPr>
              <w:t>Leaf Wetness</w:t>
            </w:r>
          </w:p>
        </w:tc>
        <w:tc>
          <w:tcPr>
            <w:tcW w:type="dxa" w:w="234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3"/>
              </w:rPr>
              <w:t>IP68 RS485 Modbus Sensor</w:t>
            </w:r>
          </w:p>
        </w:tc>
        <w:tc>
          <w:tcPr>
            <w:tcW w:type="dxa" w:w="234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3"/>
              </w:rPr>
              <w:t>Resistive Printed Rain Grid</w:t>
            </w:r>
          </w:p>
        </w:tc>
        <w:tc>
          <w:tcPr>
            <w:tcW w:type="dxa" w:w="234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3"/>
              </w:rPr>
              <w:t>Resistive grids oxidize and suffer false triggers; industrial dielectric RS485 sensor provides linear moisture percentages and noise immunity.</w:t>
            </w:r>
          </w:p>
        </w:tc>
      </w:tr>
      <w:tr>
        <w:tc>
          <w:tcPr>
            <w:tcW w:type="dxa" w:w="234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color w:val="000000"/>
                <w:sz w:val="23"/>
              </w:rPr>
              <w:t>Battery Chemistry</w:t>
            </w:r>
          </w:p>
        </w:tc>
        <w:tc>
          <w:tcPr>
            <w:tcW w:type="dxa" w:w="234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3"/>
              </w:rPr>
              <w:t>12.8V LiFePO₄ Battery</w:t>
            </w:r>
          </w:p>
        </w:tc>
        <w:tc>
          <w:tcPr>
            <w:tcW w:type="dxa" w:w="234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3"/>
              </w:rPr>
              <w:t>3.7V 2600 mAh Li-ion (18650)</w:t>
            </w:r>
          </w:p>
        </w:tc>
        <w:tc>
          <w:tcPr>
            <w:tcW w:type="dxa" w:w="234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3"/>
              </w:rPr>
              <w:t>Single 18650 cell (9.62 Wh) depletes in &lt; 16 hours and degrades in heat; LiFePO₄ provides 3,000+ cycle life, thermal safety, and multi-week autonomy.</w:t>
            </w:r>
          </w:p>
        </w:tc>
      </w:tr>
      <w:tr>
        <w:tc>
          <w:tcPr>
            <w:tcW w:type="dxa" w:w="234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color w:val="000000"/>
                <w:sz w:val="23"/>
              </w:rPr>
              <w:t>Circuit Assembly</w:t>
            </w:r>
          </w:p>
        </w:tc>
        <w:tc>
          <w:tcPr>
            <w:tcW w:type="dxa" w:w="234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3"/>
              </w:rPr>
              <w:t>Custom Fabricated PCB Shield</w:t>
            </w:r>
          </w:p>
        </w:tc>
        <w:tc>
          <w:tcPr>
            <w:tcW w:type="dxa" w:w="234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3"/>
              </w:rPr>
              <w:t>Solderless Breadboard</w:t>
            </w:r>
          </w:p>
        </w:tc>
        <w:tc>
          <w:tcPr>
            <w:tcW w:type="dxa" w:w="234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3"/>
              </w:rPr>
              <w:t>Breadboards suffer from loose spring contacts and humidity oxidation; custom PCB ensures permanent soldered joints and anti-vibration stability.</w:t>
            </w:r>
          </w:p>
        </w:tc>
      </w:tr>
    </w:tbl>
    <w:p>
      <w:pPr>
        <w:spacing w:after="120"/>
      </w:pPr>
    </w:p>
    <w:p>
      <w:pPr>
        <w:keepNext/>
        <w:spacing w:before="160" w:after="60"/>
      </w:pPr>
      <w:r>
        <w:rPr>
          <w:rFonts w:ascii="Times New Roman" w:hAnsi="Times New Roman"/>
          <w:b/>
          <w:sz w:val="24"/>
        </w:rPr>
        <w:t>Table 8: Software Requirements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EAEAEA"/>
            <w:tcMar>
              <w:top w:w="80" w:type="dxa"/>
              <w:bottom w:w="80" w:type="dxa"/>
              <w:left w:w="120" w:type="dxa"/>
              <w:right w:w="120" w:type="dxa"/>
            </w:tcMar>
          </w:tcPr>
          <w:p>
            <w:pPr>
              <w:spacing w:before="60" w:after="60" w:line="276" w:lineRule="auto"/>
              <w:jc w:val="left"/>
            </w:pPr>
            <w:r>
              <w:rPr>
                <w:rFonts w:ascii="Times New Roman" w:hAnsi="Times New Roman"/>
                <w:b/>
                <w:color w:val="000000"/>
              </w:rPr>
            </w:r>
            <w:r>
              <w:rPr>
                <w:rFonts w:ascii="Times New Roman" w:hAnsi="Times New Roman"/>
                <w:b/>
                <w:color w:val="000000"/>
                <w:sz w:val="23"/>
              </w:rPr>
              <w:t>Category</w:t>
            </w:r>
          </w:p>
        </w:tc>
        <w:tc>
          <w:tcPr>
            <w:tcW w:type="dxa" w:w="3120"/>
            <w:shd w:fill="EAEAEA"/>
            <w:tcMar>
              <w:top w:w="80" w:type="dxa"/>
              <w:bottom w:w="80" w:type="dxa"/>
              <w:left w:w="120" w:type="dxa"/>
              <w:right w:w="120" w:type="dxa"/>
            </w:tcMar>
          </w:tcPr>
          <w:p>
            <w:pPr>
              <w:spacing w:before="60" w:after="60" w:line="276" w:lineRule="auto"/>
              <w:jc w:val="left"/>
            </w:pPr>
            <w:r>
              <w:rPr>
                <w:rFonts w:ascii="Times New Roman" w:hAnsi="Times New Roman"/>
                <w:b/>
                <w:color w:val="000000"/>
              </w:rPr>
            </w:r>
            <w:r>
              <w:rPr>
                <w:rFonts w:ascii="Times New Roman" w:hAnsi="Times New Roman"/>
                <w:b/>
                <w:color w:val="000000"/>
                <w:sz w:val="23"/>
              </w:rPr>
              <w:t>Software Needed</w:t>
            </w:r>
          </w:p>
        </w:tc>
        <w:tc>
          <w:tcPr>
            <w:tcW w:type="dxa" w:w="3120"/>
            <w:shd w:fill="EAEAEA"/>
            <w:tcMar>
              <w:top w:w="80" w:type="dxa"/>
              <w:bottom w:w="80" w:type="dxa"/>
              <w:left w:w="120" w:type="dxa"/>
              <w:right w:w="120" w:type="dxa"/>
            </w:tcMar>
          </w:tcPr>
          <w:p>
            <w:pPr>
              <w:spacing w:before="60" w:after="60" w:line="276" w:lineRule="auto"/>
              <w:jc w:val="left"/>
            </w:pPr>
            <w:r>
              <w:rPr>
                <w:rFonts w:ascii="Times New Roman" w:hAnsi="Times New Roman"/>
                <w:b/>
                <w:color w:val="000000"/>
              </w:rPr>
            </w:r>
            <w:r>
              <w:rPr>
                <w:rFonts w:ascii="Times New Roman" w:hAnsi="Times New Roman"/>
                <w:b/>
                <w:color w:val="000000"/>
                <w:sz w:val="23"/>
              </w:rPr>
              <w:t>Role in SolanaWatch</w:t>
            </w:r>
          </w:p>
        </w:tc>
      </w:tr>
      <w:tr>
        <w:tc>
          <w:tcPr>
            <w:tcW w:type="dxa" w:w="312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color w:val="000000"/>
                <w:sz w:val="23"/>
              </w:rPr>
              <w:t>Firmware Development</w:t>
            </w:r>
          </w:p>
        </w:tc>
        <w:tc>
          <w:tcPr>
            <w:tcW w:type="dxa" w:w="312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3"/>
              </w:rPr>
              <w:t>Visual Studio Code &amp; PlatformIO</w:t>
            </w:r>
          </w:p>
        </w:tc>
        <w:tc>
          <w:tcPr>
            <w:tcW w:type="dxa" w:w="312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3"/>
              </w:rPr>
              <w:t>Embedded C++ firmware development, compilation, and flashing.</w:t>
            </w:r>
          </w:p>
        </w:tc>
      </w:tr>
      <w:tr>
        <w:tc>
          <w:tcPr>
            <w:tcW w:type="dxa" w:w="312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color w:val="000000"/>
                <w:sz w:val="23"/>
              </w:rPr>
              <w:t>Backend Runtime</w:t>
            </w:r>
          </w:p>
        </w:tc>
        <w:tc>
          <w:tcPr>
            <w:tcW w:type="dxa" w:w="312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3"/>
              </w:rPr>
              <w:t>Node.js &amp; Express.js</w:t>
            </w:r>
          </w:p>
        </w:tc>
        <w:tc>
          <w:tcPr>
            <w:tcW w:type="dxa" w:w="312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3"/>
              </w:rPr>
              <w:t>RESTful API server, telemetry processing, and disease-risk engine execution.</w:t>
            </w:r>
          </w:p>
        </w:tc>
      </w:tr>
      <w:tr>
        <w:tc>
          <w:tcPr>
            <w:tcW w:type="dxa" w:w="312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color w:val="000000"/>
                <w:sz w:val="23"/>
              </w:rPr>
              <w:t>Database</w:t>
            </w:r>
          </w:p>
        </w:tc>
        <w:tc>
          <w:tcPr>
            <w:tcW w:type="dxa" w:w="312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3"/>
              </w:rPr>
              <w:t>Turso (Distributed libSQL / SQLite)</w:t>
            </w:r>
          </w:p>
        </w:tc>
        <w:tc>
          <w:tcPr>
            <w:tcW w:type="dxa" w:w="312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3"/>
              </w:rPr>
              <w:t>Cloud database for historical records with composite unique constraint deduplication.</w:t>
            </w:r>
          </w:p>
        </w:tc>
      </w:tr>
      <w:tr>
        <w:tc>
          <w:tcPr>
            <w:tcW w:type="dxa" w:w="312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color w:val="000000"/>
                <w:sz w:val="23"/>
              </w:rPr>
              <w:t>Frontend Framework</w:t>
            </w:r>
          </w:p>
        </w:tc>
        <w:tc>
          <w:tcPr>
            <w:tcW w:type="dxa" w:w="312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3"/>
              </w:rPr>
              <w:t>React.js &amp; Vite</w:t>
            </w:r>
          </w:p>
        </w:tc>
        <w:tc>
          <w:tcPr>
            <w:tcW w:type="dxa" w:w="312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3"/>
              </w:rPr>
              <w:t>Web dashboard interface for live monitoring and historical visualization.</w:t>
            </w:r>
          </w:p>
        </w:tc>
      </w:tr>
      <w:tr>
        <w:tc>
          <w:tcPr>
            <w:tcW w:type="dxa" w:w="312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color w:val="000000"/>
                <w:sz w:val="23"/>
              </w:rPr>
              <w:t>Styling &amp; Charts</w:t>
            </w:r>
          </w:p>
        </w:tc>
        <w:tc>
          <w:tcPr>
            <w:tcW w:type="dxa" w:w="312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3"/>
              </w:rPr>
              <w:t>Tailwind CSS / Chart.js</w:t>
            </w:r>
          </w:p>
        </w:tc>
        <w:tc>
          <w:tcPr>
            <w:tcW w:type="dxa" w:w="312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3"/>
              </w:rPr>
              <w:t>Modern responsive UI styling and dynamic multi-series time-series charts.</w:t>
            </w:r>
          </w:p>
        </w:tc>
      </w:tr>
      <w:tr>
        <w:tc>
          <w:tcPr>
            <w:tcW w:type="dxa" w:w="312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color w:val="000000"/>
                <w:sz w:val="23"/>
              </w:rPr>
              <w:t>Version Control</w:t>
            </w:r>
          </w:p>
        </w:tc>
        <w:tc>
          <w:tcPr>
            <w:tcW w:type="dxa" w:w="312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3"/>
              </w:rPr>
              <w:t>Git &amp; GitHub</w:t>
            </w:r>
          </w:p>
        </w:tc>
        <w:tc>
          <w:tcPr>
            <w:tcW w:type="dxa" w:w="312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3"/>
              </w:rPr>
              <w:t>Source code repository and collaborative project management.</w:t>
            </w:r>
          </w:p>
        </w:tc>
      </w:tr>
    </w:tbl>
    <w:p>
      <w:pPr>
        <w:spacing w:after="120"/>
      </w:pPr>
    </w:p>
    <w:p>
      <w:pPr>
        <w:keepNext/>
        <w:spacing w:before="160" w:after="60"/>
      </w:pPr>
      <w:r>
        <w:rPr>
          <w:rFonts w:ascii="Times New Roman" w:hAnsi="Times New Roman"/>
          <w:b/>
          <w:sz w:val="24"/>
        </w:rPr>
        <w:t>Table 9: System Requirements for Users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EAEAEA"/>
            <w:tcMar>
              <w:top w:w="80" w:type="dxa"/>
              <w:bottom w:w="80" w:type="dxa"/>
              <w:left w:w="120" w:type="dxa"/>
              <w:right w:w="120" w:type="dxa"/>
            </w:tcMar>
          </w:tcPr>
          <w:p>
            <w:pPr>
              <w:spacing w:before="60" w:after="60" w:line="276" w:lineRule="auto"/>
              <w:jc w:val="left"/>
            </w:pPr>
            <w:r>
              <w:rPr>
                <w:rFonts w:ascii="Times New Roman" w:hAnsi="Times New Roman"/>
                <w:b/>
                <w:color w:val="000000"/>
              </w:rPr>
            </w:r>
            <w:r>
              <w:rPr>
                <w:rFonts w:ascii="Times New Roman" w:hAnsi="Times New Roman"/>
                <w:b/>
                <w:color w:val="000000"/>
                <w:sz w:val="23"/>
              </w:rPr>
              <w:t>Category</w:t>
            </w:r>
          </w:p>
        </w:tc>
        <w:tc>
          <w:tcPr>
            <w:tcW w:type="dxa" w:w="3120"/>
            <w:shd w:fill="EAEAEA"/>
            <w:tcMar>
              <w:top w:w="80" w:type="dxa"/>
              <w:bottom w:w="80" w:type="dxa"/>
              <w:left w:w="120" w:type="dxa"/>
              <w:right w:w="120" w:type="dxa"/>
            </w:tcMar>
          </w:tcPr>
          <w:p>
            <w:pPr>
              <w:spacing w:before="60" w:after="60" w:line="276" w:lineRule="auto"/>
              <w:jc w:val="left"/>
            </w:pPr>
            <w:r>
              <w:rPr>
                <w:rFonts w:ascii="Times New Roman" w:hAnsi="Times New Roman"/>
                <w:b/>
                <w:color w:val="000000"/>
              </w:rPr>
            </w:r>
            <w:r>
              <w:rPr>
                <w:rFonts w:ascii="Times New Roman" w:hAnsi="Times New Roman"/>
                <w:b/>
                <w:color w:val="000000"/>
                <w:sz w:val="23"/>
              </w:rPr>
              <w:t>Requirement</w:t>
            </w:r>
          </w:p>
        </w:tc>
        <w:tc>
          <w:tcPr>
            <w:tcW w:type="dxa" w:w="3120"/>
            <w:shd w:fill="EAEAEA"/>
            <w:tcMar>
              <w:top w:w="80" w:type="dxa"/>
              <w:bottom w:w="80" w:type="dxa"/>
              <w:left w:w="120" w:type="dxa"/>
              <w:right w:w="120" w:type="dxa"/>
            </w:tcMar>
          </w:tcPr>
          <w:p>
            <w:pPr>
              <w:spacing w:before="60" w:after="60" w:line="276" w:lineRule="auto"/>
              <w:jc w:val="left"/>
            </w:pPr>
            <w:r>
              <w:rPr>
                <w:rFonts w:ascii="Times New Roman" w:hAnsi="Times New Roman"/>
                <w:b/>
                <w:color w:val="000000"/>
              </w:rPr>
            </w:r>
            <w:r>
              <w:rPr>
                <w:rFonts w:ascii="Times New Roman" w:hAnsi="Times New Roman"/>
                <w:b/>
                <w:color w:val="000000"/>
                <w:sz w:val="23"/>
              </w:rPr>
              <w:t>Specification</w:t>
            </w:r>
          </w:p>
        </w:tc>
      </w:tr>
      <w:tr>
        <w:tc>
          <w:tcPr>
            <w:tcW w:type="dxa" w:w="312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color w:val="000000"/>
                <w:sz w:val="23"/>
              </w:rPr>
              <w:t>User Device</w:t>
            </w:r>
          </w:p>
        </w:tc>
        <w:tc>
          <w:tcPr>
            <w:tcW w:type="dxa" w:w="312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3"/>
              </w:rPr>
              <w:t>Hardware</w:t>
            </w:r>
          </w:p>
        </w:tc>
        <w:tc>
          <w:tcPr>
            <w:tcW w:type="dxa" w:w="312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3"/>
              </w:rPr>
              <w:t>Smartphone, tablet, laptop, or desktop computer.</w:t>
            </w:r>
          </w:p>
        </w:tc>
      </w:tr>
      <w:tr>
        <w:tc>
          <w:tcPr>
            <w:tcW w:type="dxa" w:w="312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color w:val="000000"/>
                <w:sz w:val="23"/>
              </w:rPr>
              <w:t>Connectivity</w:t>
            </w:r>
          </w:p>
        </w:tc>
        <w:tc>
          <w:tcPr>
            <w:tcW w:type="dxa" w:w="312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3"/>
              </w:rPr>
              <w:t>Internet Access</w:t>
            </w:r>
          </w:p>
        </w:tc>
        <w:tc>
          <w:tcPr>
            <w:tcW w:type="dxa" w:w="312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3"/>
              </w:rPr>
              <w:t>Stable Wi-Fi, cellular data, or broadband internet access.</w:t>
            </w:r>
          </w:p>
        </w:tc>
      </w:tr>
      <w:tr>
        <w:tc>
          <w:tcPr>
            <w:tcW w:type="dxa" w:w="312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color w:val="000000"/>
                <w:sz w:val="23"/>
              </w:rPr>
              <w:t>Software</w:t>
            </w:r>
          </w:p>
        </w:tc>
        <w:tc>
          <w:tcPr>
            <w:tcW w:type="dxa" w:w="312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3"/>
              </w:rPr>
              <w:t>Web Browser</w:t>
            </w:r>
          </w:p>
        </w:tc>
        <w:tc>
          <w:tcPr>
            <w:tcW w:type="dxa" w:w="312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3"/>
              </w:rPr>
              <w:t>Modern standard browser (Chrome, Safari, Edge, Firefox).</w:t>
            </w:r>
          </w:p>
        </w:tc>
      </w:tr>
      <w:tr>
        <w:tc>
          <w:tcPr>
            <w:tcW w:type="dxa" w:w="312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color w:val="000000"/>
                <w:sz w:val="23"/>
              </w:rPr>
              <w:t>User Access</w:t>
            </w:r>
          </w:p>
        </w:tc>
        <w:tc>
          <w:tcPr>
            <w:tcW w:type="dxa" w:w="312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3"/>
              </w:rPr>
              <w:t>Credentials</w:t>
            </w:r>
          </w:p>
        </w:tc>
        <w:tc>
          <w:tcPr>
            <w:tcW w:type="dxa" w:w="312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3"/>
              </w:rPr>
              <w:t>Valid SolanaWatch registered user account and password.</w:t>
            </w:r>
          </w:p>
        </w:tc>
      </w:tr>
      <w:tr>
        <w:tc>
          <w:tcPr>
            <w:tcW w:type="dxa" w:w="312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color w:val="000000"/>
                <w:sz w:val="23"/>
              </w:rPr>
              <w:t>Target User Base</w:t>
            </w:r>
          </w:p>
        </w:tc>
        <w:tc>
          <w:tcPr>
            <w:tcW w:type="dxa" w:w="312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3"/>
              </w:rPr>
              <w:t>User Literacy</w:t>
            </w:r>
          </w:p>
        </w:tc>
        <w:tc>
          <w:tcPr>
            <w:tcW w:type="dxa" w:w="312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3"/>
              </w:rPr>
              <w:t>Smallholder farmers, agricultural technicians, and extension personnel with basic web navigation skills.</w:t>
            </w:r>
          </w:p>
        </w:tc>
      </w:tr>
    </w:tbl>
    <w:p>
      <w:pPr>
        <w:spacing w:after="120"/>
      </w:pPr>
    </w:p>
    <w:p>
      <w:pPr>
        <w:keepNext/>
        <w:spacing w:before="280" w:after="120"/>
        <w:jc w:val="left"/>
      </w:pPr>
      <w:r>
        <w:rPr>
          <w:rFonts w:ascii="Times New Roman" w:hAnsi="Times New Roman"/>
          <w:b/>
          <w:sz w:val="26"/>
        </w:rPr>
        <w:t>3.2 Methodology</w:t>
      </w:r>
    </w:p>
    <w:p>
      <w:pPr>
        <w:spacing w:before="0" w:after="120" w:line="360" w:lineRule="auto"/>
        <w:ind w:firstLine="720"/>
        <w:jc w:val="both"/>
      </w:pPr>
      <w:r>
        <w:rPr>
          <w:rFonts w:ascii="Times New Roman" w:hAnsi="Times New Roman"/>
          <w:b w:val="0"/>
          <w:color w:val="000000"/>
          <w:sz w:val="24"/>
        </w:rPr>
        <w:t xml:space="preserve">SolanaWatch consists of two major components that work together to deliver continuous environmental monitoring and disease-risk assessment: the physical IoT-based sensing node deployed in the crop field and the cloud-connected web application responsible for data analysis, storage, and visualization. Since both hardware and software components require continuous refinement throughout development, the researchers selected the </w:t>
      </w:r>
      <w:r>
        <w:rPr>
          <w:rFonts w:ascii="Times New Roman" w:hAnsi="Times New Roman"/>
          <w:b/>
          <w:color w:val="000000"/>
          <w:sz w:val="24"/>
        </w:rPr>
        <w:t>Prototyping Model</w:t>
      </w:r>
      <w:r>
        <w:rPr>
          <w:rFonts w:ascii="Times New Roman" w:hAnsi="Times New Roman"/>
          <w:b w:val="0"/>
          <w:color w:val="000000"/>
          <w:sz w:val="24"/>
        </w:rPr>
        <w:t xml:space="preserve"> as the development methodology.</w:t>
      </w:r>
    </w:p>
    <w:p>
      <w:pPr>
        <w:spacing w:before="0" w:after="120" w:line="360" w:lineRule="auto"/>
        <w:ind w:firstLine="720"/>
        <w:jc w:val="both"/>
      </w:pPr>
      <w:r>
        <w:rPr>
          <w:rFonts w:ascii="Times New Roman" w:hAnsi="Times New Roman"/>
          <w:b w:val="0"/>
          <w:color w:val="000000"/>
          <w:sz w:val="24"/>
        </w:rPr>
        <w:t>The Prototyping Model enables the researchers to build an initial working version of the system, evaluate its performance, identify areas for improvement, and incorporate necessary refinements before producing the final implementation. This iterative approach allows both hardware and software components to be tested and enhanced throughout the development cycle, reducing potential design issues and ensuring that the completed system meets the project's objectives.</w:t>
      </w:r>
    </w:p>
    <w:p>
      <w:pPr>
        <w:spacing w:before="160" w:after="120"/>
        <w:jc w:val="center"/>
      </w:pPr>
      <w:r>
        <w:drawing>
          <wp:inline xmlns:a="http://schemas.openxmlformats.org/drawingml/2006/main" xmlns:pic="http://schemas.openxmlformats.org/drawingml/2006/picture">
            <wp:extent cx="5486400" cy="2467487"/>
            <wp:docPr id="2" name="Picture 2"/>
            <wp:cNvGraphicFramePr>
              <a:graphicFrameLocks noChangeAspect="1"/>
            </wp:cNvGraphicFramePr>
            <a:graphic>
              <a:graphicData uri="http://schemas.openxmlformats.org/drawingml/2006/picture">
                <pic:pic>
                  <pic:nvPicPr>
                    <pic:cNvPr id="0" name="figure3_prototyping_model.png"/>
                    <pic:cNvPicPr/>
                  </pic:nvPicPr>
                  <pic:blipFill>
                    <a:blip r:embed="rId10"/>
                    <a:stretch>
                      <a:fillRect/>
                    </a:stretch>
                  </pic:blipFill>
                  <pic:spPr>
                    <a:xfrm>
                      <a:off x="0" y="0"/>
                      <a:ext cx="5486400" cy="2467487"/>
                    </a:xfrm>
                    <a:prstGeom prst="rect"/>
                  </pic:spPr>
                </pic:pic>
              </a:graphicData>
            </a:graphic>
          </wp:inline>
        </w:drawing>
      </w:r>
    </w:p>
    <w:p>
      <w:pPr>
        <w:keepNext/>
        <w:spacing w:before="240" w:after="80"/>
        <w:jc w:val="left"/>
      </w:pPr>
      <w:r>
        <w:rPr>
          <w:rFonts w:ascii="Times New Roman" w:hAnsi="Times New Roman"/>
          <w:b/>
          <w:color w:val="000000"/>
          <w:sz w:val="24"/>
        </w:rPr>
        <w:t>Table 10: Prototyping Phases, Activities, and Deliverables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EAEAEA"/>
            <w:tcMar>
              <w:top w:w="80" w:type="dxa"/>
              <w:bottom w:w="80" w:type="dxa"/>
              <w:left w:w="120" w:type="dxa"/>
              <w:right w:w="120" w:type="dxa"/>
            </w:tcMar>
          </w:tcPr>
          <w:p>
            <w:pPr>
              <w:spacing w:before="60" w:after="60" w:line="276" w:lineRule="auto"/>
              <w:jc w:val="left"/>
            </w:pPr>
            <w:r>
              <w:rPr>
                <w:rFonts w:ascii="Times New Roman" w:hAnsi="Times New Roman"/>
                <w:b/>
                <w:color w:val="000000"/>
              </w:rPr>
            </w:r>
            <w:r>
              <w:rPr>
                <w:rFonts w:ascii="Times New Roman" w:hAnsi="Times New Roman"/>
                <w:b/>
                <w:color w:val="000000"/>
                <w:sz w:val="23"/>
              </w:rPr>
              <w:t>Prototyping Phase</w:t>
            </w:r>
          </w:p>
        </w:tc>
        <w:tc>
          <w:tcPr>
            <w:tcW w:type="dxa" w:w="2340"/>
            <w:shd w:fill="EAEAEA"/>
            <w:tcMar>
              <w:top w:w="80" w:type="dxa"/>
              <w:bottom w:w="80" w:type="dxa"/>
              <w:left w:w="120" w:type="dxa"/>
              <w:right w:w="120" w:type="dxa"/>
            </w:tcMar>
          </w:tcPr>
          <w:p>
            <w:pPr>
              <w:spacing w:before="60" w:after="60" w:line="276" w:lineRule="auto"/>
              <w:jc w:val="left"/>
            </w:pPr>
            <w:r>
              <w:rPr>
                <w:rFonts w:ascii="Times New Roman" w:hAnsi="Times New Roman"/>
                <w:b/>
                <w:color w:val="000000"/>
              </w:rPr>
            </w:r>
            <w:r>
              <w:rPr>
                <w:rFonts w:ascii="Times New Roman" w:hAnsi="Times New Roman"/>
                <w:b/>
                <w:color w:val="000000"/>
                <w:sz w:val="23"/>
              </w:rPr>
              <w:t>Key Activities</w:t>
            </w:r>
          </w:p>
        </w:tc>
        <w:tc>
          <w:tcPr>
            <w:tcW w:type="dxa" w:w="2340"/>
            <w:shd w:fill="EAEAEA"/>
            <w:tcMar>
              <w:top w:w="80" w:type="dxa"/>
              <w:bottom w:w="80" w:type="dxa"/>
              <w:left w:w="120" w:type="dxa"/>
              <w:right w:w="120" w:type="dxa"/>
            </w:tcMar>
          </w:tcPr>
          <w:p>
            <w:pPr>
              <w:spacing w:before="60" w:after="60" w:line="276" w:lineRule="auto"/>
              <w:jc w:val="left"/>
            </w:pPr>
            <w:r>
              <w:rPr>
                <w:rFonts w:ascii="Times New Roman" w:hAnsi="Times New Roman"/>
                <w:b/>
                <w:color w:val="000000"/>
              </w:rPr>
            </w:r>
            <w:r>
              <w:rPr>
                <w:rFonts w:ascii="Times New Roman" w:hAnsi="Times New Roman"/>
                <w:b/>
                <w:color w:val="000000"/>
                <w:sz w:val="23"/>
              </w:rPr>
              <w:t>Inputs</w:t>
            </w:r>
          </w:p>
        </w:tc>
        <w:tc>
          <w:tcPr>
            <w:tcW w:type="dxa" w:w="2340"/>
            <w:shd w:fill="EAEAEA"/>
            <w:tcMar>
              <w:top w:w="80" w:type="dxa"/>
              <w:bottom w:w="80" w:type="dxa"/>
              <w:left w:w="120" w:type="dxa"/>
              <w:right w:w="120" w:type="dxa"/>
            </w:tcMar>
          </w:tcPr>
          <w:p>
            <w:pPr>
              <w:spacing w:before="60" w:after="60" w:line="276" w:lineRule="auto"/>
              <w:jc w:val="left"/>
            </w:pPr>
            <w:r>
              <w:rPr>
                <w:rFonts w:ascii="Times New Roman" w:hAnsi="Times New Roman"/>
                <w:b/>
                <w:color w:val="000000"/>
              </w:rPr>
            </w:r>
            <w:r>
              <w:rPr>
                <w:rFonts w:ascii="Times New Roman" w:hAnsi="Times New Roman"/>
                <w:b/>
                <w:color w:val="000000"/>
                <w:sz w:val="23"/>
              </w:rPr>
              <w:t>Expected Deliverables</w:t>
            </w:r>
          </w:p>
        </w:tc>
      </w:tr>
      <w:tr>
        <w:tc>
          <w:tcPr>
            <w:tcW w:type="dxa" w:w="234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color w:val="000000"/>
                <w:sz w:val="23"/>
              </w:rPr>
              <w:t>Requirements Gathering and Analysis</w:t>
            </w:r>
          </w:p>
        </w:tc>
        <w:tc>
          <w:tcPr>
            <w:tcW w:type="dxa" w:w="234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3"/>
              </w:rPr>
              <w:t>Objectives definition, stakeholder needs assessment, plant pathology review, and requirements identification.</w:t>
            </w:r>
          </w:p>
        </w:tc>
        <w:tc>
          <w:tcPr>
            <w:tcW w:type="dxa" w:w="234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3"/>
              </w:rPr>
              <w:t>Agricultural literature on Solanaceae pathogens, PSA data, user consultations.</w:t>
            </w:r>
          </w:p>
        </w:tc>
        <w:tc>
          <w:tcPr>
            <w:tcW w:type="dxa" w:w="234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3"/>
              </w:rPr>
              <w:t>Functional &amp; non-functional requirements, scope table, system specification.</w:t>
            </w:r>
          </w:p>
        </w:tc>
      </w:tr>
      <w:tr>
        <w:tc>
          <w:tcPr>
            <w:tcW w:type="dxa" w:w="234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color w:val="000000"/>
                <w:sz w:val="23"/>
              </w:rPr>
              <w:t>Quick Design</w:t>
            </w:r>
          </w:p>
        </w:tc>
        <w:tc>
          <w:tcPr>
            <w:tcW w:type="dxa" w:w="234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3"/>
              </w:rPr>
              <w:t>System architecture design, circuit schematic planning, database schema design, and UI/UX drafting.</w:t>
            </w:r>
          </w:p>
        </w:tc>
        <w:tc>
          <w:tcPr>
            <w:tcW w:type="dxa" w:w="234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3"/>
              </w:rPr>
              <w:t>Hardware datasheets, threshold tables, UI layout requirements.</w:t>
            </w:r>
          </w:p>
        </w:tc>
        <w:tc>
          <w:tcPr>
            <w:tcW w:type="dxa" w:w="234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3"/>
              </w:rPr>
              <w:t>Circuit schematics, Turso ER diagrams, Figma UI wireframes, power budget models.</w:t>
            </w:r>
          </w:p>
        </w:tc>
      </w:tr>
      <w:tr>
        <w:tc>
          <w:tcPr>
            <w:tcW w:type="dxa" w:w="234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color w:val="000000"/>
                <w:sz w:val="23"/>
              </w:rPr>
              <w:t>Build a Prototype</w:t>
            </w:r>
          </w:p>
        </w:tc>
        <w:tc>
          <w:tcPr>
            <w:tcW w:type="dxa" w:w="234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3"/>
              </w:rPr>
              <w:t>Hardware assembly, custom PCB shield fabrication, firmware coding (deep sleep, SPI SD buffering, RS485 Modbus), backend API development, and dashboard implementation.</w:t>
            </w:r>
          </w:p>
        </w:tc>
        <w:tc>
          <w:tcPr>
            <w:tcW w:type="dxa" w:w="234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3"/>
              </w:rPr>
              <w:t>Development IDEs (VS Code, PlatformIO), electronic components, React.js.</w:t>
            </w:r>
          </w:p>
        </w:tc>
        <w:tc>
          <w:tcPr>
            <w:tcW w:type="dxa" w:w="234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3"/>
              </w:rPr>
              <w:t>Functional ESP32 edge node, compiled firmware, cloud backend API, active web dashboard.</w:t>
            </w:r>
          </w:p>
        </w:tc>
      </w:tr>
      <w:tr>
        <w:tc>
          <w:tcPr>
            <w:tcW w:type="dxa" w:w="234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color w:val="000000"/>
                <w:sz w:val="23"/>
              </w:rPr>
              <w:t>Evaluation and Testing</w:t>
            </w:r>
          </w:p>
        </w:tc>
        <w:tc>
          <w:tcPr>
            <w:tcW w:type="dxa" w:w="234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3"/>
              </w:rPr>
              <w:t>Sensor calibration verification, Wi-Fi RSSI range testing, 72-hour battery autonomy stress testing, offline sync verification, and expert usability validation.</w:t>
            </w:r>
          </w:p>
        </w:tc>
        <w:tc>
          <w:tcPr>
            <w:tcW w:type="dxa" w:w="234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3"/>
              </w:rPr>
              <w:t>Assembled prototype, calibrated reference meters, test cases.</w:t>
            </w:r>
          </w:p>
        </w:tc>
        <w:tc>
          <w:tcPr>
            <w:tcW w:type="dxa" w:w="234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3"/>
              </w:rPr>
              <w:t>Empirical test logs, RSSI range decay charts, battery discharge curves, SUS survey results.</w:t>
            </w:r>
          </w:p>
        </w:tc>
      </w:tr>
      <w:tr>
        <w:tc>
          <w:tcPr>
            <w:tcW w:type="dxa" w:w="234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color w:val="000000"/>
                <w:sz w:val="23"/>
              </w:rPr>
              <w:t>Refining Prototype</w:t>
            </w:r>
          </w:p>
        </w:tc>
        <w:tc>
          <w:tcPr>
            <w:tcW w:type="dxa" w:w="234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3"/>
              </w:rPr>
              <w:t>Debugging firmware, algorithm optimization, refining hardware PCB connections, adjusting UI based on user feedback.</w:t>
            </w:r>
          </w:p>
        </w:tc>
        <w:tc>
          <w:tcPr>
            <w:tcW w:type="dxa" w:w="234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3"/>
              </w:rPr>
              <w:t>Test logs, bug reports, expert evaluation feedback.</w:t>
            </w:r>
          </w:p>
        </w:tc>
        <w:tc>
          <w:tcPr>
            <w:tcW w:type="dxa" w:w="234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3"/>
              </w:rPr>
              <w:t>Hardened firmware with Watchdog Timer, optimized PCB shield, updated web UI.</w:t>
            </w:r>
          </w:p>
        </w:tc>
      </w:tr>
      <w:tr>
        <w:tc>
          <w:tcPr>
            <w:tcW w:type="dxa" w:w="234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color w:val="000000"/>
                <w:sz w:val="23"/>
              </w:rPr>
              <w:t>Implementation / Final Deployment</w:t>
            </w:r>
          </w:p>
        </w:tc>
        <w:tc>
          <w:tcPr>
            <w:tcW w:type="dxa" w:w="234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3"/>
              </w:rPr>
              <w:t>Multi-day continuous field deployment in Solanaceae crop plot, final system verification, and operational demonstration.</w:t>
            </w:r>
          </w:p>
        </w:tc>
        <w:tc>
          <w:tcPr>
            <w:tcW w:type="dxa" w:w="234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3"/>
              </w:rPr>
              <w:t>Field-ready prototype, target crop plot.</w:t>
            </w:r>
          </w:p>
        </w:tc>
        <w:tc>
          <w:tcPr>
            <w:tcW w:type="dxa" w:w="234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3"/>
              </w:rPr>
              <w:t>Final validated SolanaWatch system, operational field records, complete manuscript.</w:t>
            </w:r>
          </w:p>
        </w:tc>
      </w:tr>
    </w:tbl>
    <w:p>
      <w:pPr>
        <w:spacing w:after="120"/>
      </w:pPr>
    </w:p>
    <w:p>
      <w:pPr>
        <w:keepNext/>
        <w:spacing w:before="280" w:after="120"/>
        <w:jc w:val="left"/>
      </w:pPr>
      <w:r>
        <w:rPr>
          <w:rFonts w:ascii="Times New Roman" w:hAnsi="Times New Roman"/>
          <w:b/>
          <w:sz w:val="26"/>
        </w:rPr>
        <w:t>3.3 System Design</w:t>
      </w:r>
    </w:p>
    <w:p>
      <w:pPr>
        <w:spacing w:before="0" w:after="120" w:line="360" w:lineRule="auto"/>
        <w:ind w:firstLine="720"/>
        <w:jc w:val="both"/>
      </w:pPr>
      <w:r>
        <w:rPr>
          <w:rFonts w:ascii="Times New Roman" w:hAnsi="Times New Roman"/>
          <w:b w:val="0"/>
          <w:color w:val="000000"/>
          <w:sz w:val="24"/>
        </w:rPr>
        <w:t>The system design presents the overall architecture and operational flow of SolanaWatch. It illustrates how the hardware, cloud platform, and web application interact to collect environmental data, analyze disease risk, and provide timely information to users.</w:t>
      </w:r>
    </w:p>
    <w:p>
      <w:pPr>
        <w:keepNext/>
        <w:spacing w:before="200" w:after="80"/>
        <w:jc w:val="left"/>
      </w:pPr>
      <w:r>
        <w:rPr>
          <w:rFonts w:ascii="Times New Roman" w:hAnsi="Times New Roman"/>
          <w:b/>
          <w:sz w:val="24"/>
        </w:rPr>
        <w:t>3.3.1 System Architecture</w:t>
      </w:r>
    </w:p>
    <w:p>
      <w:pPr>
        <w:spacing w:before="160" w:after="120"/>
        <w:jc w:val="center"/>
      </w:pPr>
      <w:r>
        <w:drawing>
          <wp:inline xmlns:a="http://schemas.openxmlformats.org/drawingml/2006/main" xmlns:pic="http://schemas.openxmlformats.org/drawingml/2006/picture">
            <wp:extent cx="5486400" cy="3754912"/>
            <wp:docPr id="3" name="Picture 3"/>
            <wp:cNvGraphicFramePr>
              <a:graphicFrameLocks noChangeAspect="1"/>
            </wp:cNvGraphicFramePr>
            <a:graphic>
              <a:graphicData uri="http://schemas.openxmlformats.org/drawingml/2006/picture">
                <pic:pic>
                  <pic:nvPicPr>
                    <pic:cNvPr id="0" name="figure4_system_architecture.png"/>
                    <pic:cNvPicPr/>
                  </pic:nvPicPr>
                  <pic:blipFill>
                    <a:blip r:embed="rId11"/>
                    <a:stretch>
                      <a:fillRect/>
                    </a:stretch>
                  </pic:blipFill>
                  <pic:spPr>
                    <a:xfrm>
                      <a:off x="0" y="0"/>
                      <a:ext cx="5486400" cy="3754912"/>
                    </a:xfrm>
                    <a:prstGeom prst="rect"/>
                  </pic:spPr>
                </pic:pic>
              </a:graphicData>
            </a:graphic>
          </wp:inline>
        </w:drawing>
      </w:r>
    </w:p>
    <w:p>
      <w:pPr>
        <w:keepNext/>
        <w:spacing w:before="200" w:after="80"/>
        <w:jc w:val="left"/>
      </w:pPr>
      <w:r>
        <w:rPr>
          <w:rFonts w:ascii="Times New Roman" w:hAnsi="Times New Roman"/>
          <w:b/>
          <w:sz w:val="24"/>
        </w:rPr>
        <w:t>3.3.2 Circuit Pinout and Schematic Diagram</w:t>
      </w:r>
    </w:p>
    <w:p>
      <w:pPr>
        <w:spacing w:before="160" w:after="120"/>
        <w:jc w:val="center"/>
      </w:pPr>
      <w:r>
        <w:drawing>
          <wp:inline xmlns:a="http://schemas.openxmlformats.org/drawingml/2006/main" xmlns:pic="http://schemas.openxmlformats.org/drawingml/2006/picture">
            <wp:extent cx="5486400" cy="3754912"/>
            <wp:docPr id="4" name="Picture 4"/>
            <wp:cNvGraphicFramePr>
              <a:graphicFrameLocks noChangeAspect="1"/>
            </wp:cNvGraphicFramePr>
            <a:graphic>
              <a:graphicData uri="http://schemas.openxmlformats.org/drawingml/2006/picture">
                <pic:pic>
                  <pic:nvPicPr>
                    <pic:cNvPr id="0" name="figure6_circuit_schematic.png"/>
                    <pic:cNvPicPr/>
                  </pic:nvPicPr>
                  <pic:blipFill>
                    <a:blip r:embed="rId12"/>
                    <a:stretch>
                      <a:fillRect/>
                    </a:stretch>
                  </pic:blipFill>
                  <pic:spPr>
                    <a:xfrm>
                      <a:off x="0" y="0"/>
                      <a:ext cx="5486400" cy="3754912"/>
                    </a:xfrm>
                    <a:prstGeom prst="rect"/>
                  </pic:spPr>
                </pic:pic>
              </a:graphicData>
            </a:graphic>
          </wp:inline>
        </w:drawing>
      </w:r>
    </w:p>
    <w:p>
      <w:pPr>
        <w:keepNext/>
        <w:spacing w:before="200" w:after="80"/>
        <w:jc w:val="left"/>
      </w:pPr>
      <w:r>
        <w:rPr>
          <w:rFonts w:ascii="Times New Roman" w:hAnsi="Times New Roman"/>
          <w:b/>
          <w:sz w:val="24"/>
        </w:rPr>
        <w:t>3.3.3 Power Subsystem Sizing and Mathematical Verification</w:t>
      </w:r>
    </w:p>
    <w:p>
      <w:pPr>
        <w:spacing w:before="0" w:after="120" w:line="360" w:lineRule="auto"/>
        <w:ind w:firstLine="720"/>
        <w:jc w:val="both"/>
      </w:pPr>
      <w:r>
        <w:rPr>
          <w:rFonts w:ascii="Times New Roman" w:hAnsi="Times New Roman"/>
          <w:b w:val="0"/>
          <w:color w:val="000000"/>
          <w:sz w:val="24"/>
        </w:rPr>
        <w:t>To guarantee continuous 24/7 autonomous field operation without grid electricity, the daily power consumption, battery capacity, and solar panel ratings were mathematically sized based on measured and datasheet parameters.</w:t>
      </w:r>
    </w:p>
    <w:p>
      <w:pPr>
        <w:keepNext/>
        <w:spacing w:before="160" w:after="60"/>
      </w:pPr>
      <w:r>
        <w:rPr>
          <w:rFonts w:ascii="Times New Roman" w:hAnsi="Times New Roman"/>
          <w:b/>
          <w:sz w:val="24"/>
        </w:rPr>
        <w:t>1. Daily Energy Consumption Budget (E_daily)</w:t>
      </w:r>
    </w:p>
    <w:p>
      <w:pPr>
        <w:spacing w:before="0" w:after="120" w:line="360" w:lineRule="auto"/>
        <w:ind w:firstLine="720"/>
        <w:jc w:val="both"/>
      </w:pPr>
      <w:r>
        <w:rPr>
          <w:rFonts w:ascii="Times New Roman" w:hAnsi="Times New Roman"/>
          <w:b w:val="0"/>
          <w:color w:val="000000"/>
          <w:sz w:val="24"/>
        </w:rPr>
        <w:t xml:space="preserve">The edge node operates on a </w:t>
      </w:r>
      <w:r>
        <w:rPr>
          <w:rFonts w:ascii="Times New Roman" w:hAnsi="Times New Roman"/>
          <w:b/>
          <w:color w:val="000000"/>
          <w:sz w:val="24"/>
        </w:rPr>
        <w:t>15-minute polling interval</w:t>
      </w:r>
      <w:r>
        <w:rPr>
          <w:rFonts w:ascii="Times New Roman" w:hAnsi="Times New Roman"/>
          <w:b w:val="0"/>
          <w:color w:val="000000"/>
          <w:sz w:val="24"/>
        </w:rPr>
        <w:t xml:space="preserve"> (4 cycles per hour = 96 cycles per day):</w:t>
      </w:r>
    </w:p>
    <w:p>
      <w:pPr>
        <w:pStyle w:val="ListBullet"/>
        <w:spacing w:after="60" w:line="360" w:lineRule="auto"/>
      </w:pPr>
      <w:r>
        <w:rPr>
          <w:rFonts w:ascii="Times New Roman" w:hAnsi="Times New Roman"/>
          <w:b/>
          <w:color w:val="000000"/>
          <w:sz w:val="24"/>
        </w:rPr>
        <w:t>Active Cycle Duration (t_act)</w:t>
      </w:r>
      <w:r>
        <w:rPr>
          <w:rFonts w:ascii="Times New Roman" w:hAnsi="Times New Roman"/>
          <w:b w:val="0"/>
          <w:color w:val="000000"/>
          <w:sz w:val="24"/>
        </w:rPr>
        <w:t>: 10 seconds (Sensor warm-up, Modbus query, SD write, Wi-Fi association, HTTP transmission).</w:t>
      </w:r>
    </w:p>
    <w:p>
      <w:pPr>
        <w:pStyle w:val="ListBullet"/>
        <w:spacing w:after="60" w:line="360" w:lineRule="auto"/>
      </w:pPr>
      <w:r>
        <w:rPr>
          <w:rFonts w:ascii="Times New Roman" w:hAnsi="Times New Roman"/>
          <w:b/>
          <w:color w:val="000000"/>
          <w:sz w:val="24"/>
        </w:rPr>
        <w:t>Deep Sleep Duration (t_sleep)</w:t>
      </w:r>
      <w:r>
        <w:rPr>
          <w:rFonts w:ascii="Times New Roman" w:hAnsi="Times New Roman"/>
          <w:b w:val="0"/>
          <w:color w:val="000000"/>
          <w:sz w:val="24"/>
        </w:rPr>
        <w:t>: 890 seconds (ULP timer active, RF and peripherals powered down).</w:t>
      </w:r>
    </w:p>
    <w:p>
      <w:pPr>
        <w:spacing w:before="0" w:after="120" w:line="360" w:lineRule="auto"/>
        <w:ind w:firstLine="720"/>
        <w:jc w:val="both"/>
      </w:pPr>
      <w:r>
        <w:rPr>
          <w:rFonts w:ascii="Times New Roman" w:hAnsi="Times New Roman"/>
          <w:b/>
          <w:color w:val="000000"/>
          <w:sz w:val="24"/>
        </w:rPr>
        <w:t>Active Power Consumption (P_act):</w:t>
      </w:r>
    </w:p>
    <w:p>
      <w:pPr>
        <w:spacing w:before="0" w:after="120" w:line="360" w:lineRule="auto"/>
        <w:ind w:firstLine="720"/>
        <w:jc w:val="both"/>
      </w:pPr>
      <w:r>
        <w:rPr>
          <w:rFonts w:ascii="Times New Roman" w:hAnsi="Times New Roman"/>
          <w:b w:val="0"/>
          <w:color w:val="000000"/>
          <w:sz w:val="24"/>
        </w:rPr>
        <w:t xml:space="preserve">P_act = (3.3V × 0.251A) + (12.0V × 0.030A) = 0.828W + 0.360W = </w:t>
      </w:r>
      <w:r>
        <w:rPr>
          <w:rFonts w:ascii="Times New Roman" w:hAnsi="Times New Roman"/>
          <w:b/>
          <w:color w:val="000000"/>
          <w:sz w:val="24"/>
        </w:rPr>
        <w:t>1.188 Watts</w:t>
      </w:r>
    </w:p>
    <w:p>
      <w:pPr>
        <w:spacing w:before="0" w:after="120" w:line="360" w:lineRule="auto"/>
        <w:ind w:firstLine="720"/>
        <w:jc w:val="both"/>
      </w:pPr>
      <w:r>
        <w:rPr>
          <w:rFonts w:ascii="Times New Roman" w:hAnsi="Times New Roman"/>
          <w:b/>
          <w:color w:val="000000"/>
          <w:sz w:val="24"/>
        </w:rPr>
        <w:t>Sleep Power Consumption (P_sleep):</w:t>
      </w:r>
    </w:p>
    <w:p>
      <w:pPr>
        <w:spacing w:before="0" w:after="120" w:line="360" w:lineRule="auto"/>
        <w:ind w:firstLine="720"/>
        <w:jc w:val="both"/>
      </w:pPr>
      <w:r>
        <w:rPr>
          <w:rFonts w:ascii="Times New Roman" w:hAnsi="Times New Roman"/>
          <w:b w:val="0"/>
          <w:color w:val="000000"/>
          <w:sz w:val="24"/>
        </w:rPr>
        <w:t xml:space="preserve">P_sleep = (3.3V × 0.0004A) + (12.0V × 0.005A) = 0.00132W + 0.060W = </w:t>
      </w:r>
      <w:r>
        <w:rPr>
          <w:rFonts w:ascii="Times New Roman" w:hAnsi="Times New Roman"/>
          <w:b/>
          <w:color w:val="000000"/>
          <w:sz w:val="24"/>
        </w:rPr>
        <w:t>0.06132 Watts</w:t>
      </w:r>
    </w:p>
    <w:p>
      <w:pPr>
        <w:spacing w:before="0" w:after="120" w:line="360" w:lineRule="auto"/>
        <w:ind w:firstLine="720"/>
        <w:jc w:val="both"/>
      </w:pPr>
      <w:r>
        <w:rPr>
          <w:rFonts w:ascii="Times New Roman" w:hAnsi="Times New Roman"/>
          <w:b/>
          <w:color w:val="000000"/>
          <w:sz w:val="24"/>
        </w:rPr>
        <w:t>Energy per Cycle (E_cycle):</w:t>
      </w:r>
    </w:p>
    <w:p>
      <w:pPr>
        <w:spacing w:before="0" w:after="120" w:line="360" w:lineRule="auto"/>
        <w:ind w:firstLine="720"/>
        <w:jc w:val="both"/>
      </w:pPr>
      <w:r>
        <w:rPr>
          <w:rFonts w:ascii="Times New Roman" w:hAnsi="Times New Roman"/>
          <w:b w:val="0"/>
          <w:color w:val="000000"/>
          <w:sz w:val="24"/>
        </w:rPr>
        <w:t>E_cycle = [ 1.188 Watts × (10 s / 3600 s) ] + [ 0.06132 Watts × (890 s / 3600 s) ]</w:t>
      </w:r>
    </w:p>
    <w:p>
      <w:pPr>
        <w:spacing w:before="0" w:after="120" w:line="360" w:lineRule="auto"/>
        <w:ind w:firstLine="720"/>
        <w:jc w:val="both"/>
      </w:pPr>
      <w:r>
        <w:rPr>
          <w:rFonts w:ascii="Times New Roman" w:hAnsi="Times New Roman"/>
          <w:b w:val="0"/>
          <w:color w:val="000000"/>
          <w:sz w:val="24"/>
        </w:rPr>
        <w:t xml:space="preserve">E_cycle = 0.00330 Wh + 0.01515 Wh = </w:t>
      </w:r>
      <w:r>
        <w:rPr>
          <w:rFonts w:ascii="Times New Roman" w:hAnsi="Times New Roman"/>
          <w:b/>
          <w:color w:val="000000"/>
          <w:sz w:val="24"/>
        </w:rPr>
        <w:t>0.01845 Watt-hours per cycle</w:t>
      </w:r>
    </w:p>
    <w:p>
      <w:pPr>
        <w:spacing w:before="0" w:after="120" w:line="360" w:lineRule="auto"/>
        <w:ind w:firstLine="720"/>
        <w:jc w:val="both"/>
      </w:pPr>
      <w:r>
        <w:rPr>
          <w:rFonts w:ascii="Times New Roman" w:hAnsi="Times New Roman"/>
          <w:b/>
          <w:color w:val="000000"/>
          <w:sz w:val="24"/>
        </w:rPr>
        <w:t>Total Daily Baseline Consumption:</w:t>
      </w:r>
    </w:p>
    <w:p>
      <w:pPr>
        <w:spacing w:before="0" w:after="120" w:line="360" w:lineRule="auto"/>
        <w:ind w:firstLine="720"/>
        <w:jc w:val="both"/>
      </w:pPr>
      <w:r>
        <w:rPr>
          <w:rFonts w:ascii="Times New Roman" w:hAnsi="Times New Roman"/>
          <w:b w:val="0"/>
          <w:color w:val="000000"/>
          <w:sz w:val="24"/>
        </w:rPr>
        <w:t xml:space="preserve">E_daily_base = 96 cycles × 0.01845 Wh = </w:t>
      </w:r>
      <w:r>
        <w:rPr>
          <w:rFonts w:ascii="Times New Roman" w:hAnsi="Times New Roman"/>
          <w:b/>
          <w:color w:val="000000"/>
          <w:sz w:val="24"/>
        </w:rPr>
        <w:t>1.7712 Watt-hours per day</w:t>
      </w:r>
    </w:p>
    <w:p>
      <w:pPr>
        <w:spacing w:before="0" w:after="120" w:line="360" w:lineRule="auto"/>
        <w:ind w:firstLine="720"/>
        <w:jc w:val="both"/>
      </w:pPr>
      <w:r>
        <w:rPr>
          <w:rFonts w:ascii="Times New Roman" w:hAnsi="Times New Roman"/>
          <w:b w:val="0"/>
          <w:color w:val="000000"/>
          <w:sz w:val="24"/>
        </w:rPr>
        <w:t xml:space="preserve">Applying a </w:t>
      </w:r>
      <w:r>
        <w:rPr>
          <w:rFonts w:ascii="Times New Roman" w:hAnsi="Times New Roman"/>
          <w:b/>
          <w:color w:val="000000"/>
          <w:sz w:val="24"/>
        </w:rPr>
        <w:t>30% engineering safety margin (× 1.30)</w:t>
      </w:r>
      <w:r>
        <w:rPr>
          <w:rFonts w:ascii="Times New Roman" w:hAnsi="Times New Roman"/>
          <w:b w:val="0"/>
          <w:color w:val="000000"/>
          <w:sz w:val="24"/>
        </w:rPr>
        <w:t xml:space="preserve"> to account for Wi-Fi retries, boot sequences, and temperature variations:</w:t>
      </w:r>
    </w:p>
    <w:p>
      <w:pPr>
        <w:spacing w:before="0" w:after="120" w:line="360" w:lineRule="auto"/>
        <w:ind w:firstLine="720"/>
        <w:jc w:val="both"/>
      </w:pPr>
      <w:r>
        <w:rPr>
          <w:rFonts w:ascii="Times New Roman" w:hAnsi="Times New Roman"/>
          <w:b/>
          <w:color w:val="000000"/>
          <w:sz w:val="24"/>
        </w:rPr>
        <w:t>E_daily_design = 1.7712 Wh/day × 1.30 ≈ 2.30 Watt-hours per day</w:t>
      </w:r>
    </w:p>
    <w:p>
      <w:pPr>
        <w:keepNext/>
        <w:spacing w:before="160" w:after="60"/>
      </w:pPr>
      <w:r>
        <w:rPr>
          <w:rFonts w:ascii="Times New Roman" w:hAnsi="Times New Roman"/>
          <w:b/>
          <w:sz w:val="24"/>
        </w:rPr>
        <w:t>2. Battery Capacity Sizing (C_battery)</w:t>
      </w:r>
    </w:p>
    <w:p>
      <w:pPr>
        <w:spacing w:before="0" w:after="120" w:line="360" w:lineRule="auto"/>
        <w:ind w:firstLine="720"/>
        <w:jc w:val="both"/>
      </w:pPr>
      <w:r>
        <w:rPr>
          <w:rFonts w:ascii="Times New Roman" w:hAnsi="Times New Roman"/>
          <w:b w:val="0"/>
          <w:color w:val="000000"/>
          <w:sz w:val="24"/>
        </w:rPr>
        <w:t xml:space="preserve">To provide a minimum of </w:t>
      </w:r>
      <w:r>
        <w:rPr>
          <w:rFonts w:ascii="Times New Roman" w:hAnsi="Times New Roman"/>
          <w:b/>
          <w:color w:val="000000"/>
          <w:sz w:val="24"/>
        </w:rPr>
        <w:t>3 Days of Complete Zero-Sunlight Autonomy (N_days = 3)</w:t>
      </w:r>
      <w:r>
        <w:rPr>
          <w:rFonts w:ascii="Times New Roman" w:hAnsi="Times New Roman"/>
          <w:b w:val="0"/>
          <w:color w:val="000000"/>
          <w:sz w:val="24"/>
        </w:rPr>
        <w:t xml:space="preserve"> at 80% Depth of Discharge (DoD = 0.80) and 88% DC buck converter efficiency (η_reg = 0.88):</w:t>
      </w:r>
    </w:p>
    <w:p>
      <w:pPr>
        <w:spacing w:before="0" w:after="120" w:line="360" w:lineRule="auto"/>
        <w:ind w:firstLine="720"/>
        <w:jc w:val="both"/>
      </w:pPr>
      <w:r>
        <w:rPr>
          <w:rFonts w:ascii="Times New Roman" w:hAnsi="Times New Roman"/>
          <w:b w:val="0"/>
          <w:color w:val="000000"/>
          <w:sz w:val="24"/>
        </w:rPr>
        <w:t>C_Wh = (E_daily_design × N_days) / (DoD × η_reg)</w:t>
      </w:r>
    </w:p>
    <w:p>
      <w:pPr>
        <w:spacing w:before="0" w:after="120" w:line="360" w:lineRule="auto"/>
        <w:ind w:firstLine="720"/>
        <w:jc w:val="both"/>
      </w:pPr>
      <w:r>
        <w:rPr>
          <w:rFonts w:ascii="Times New Roman" w:hAnsi="Times New Roman"/>
          <w:b w:val="0"/>
          <w:color w:val="000000"/>
          <w:sz w:val="24"/>
        </w:rPr>
        <w:t xml:space="preserve">C_Wh = (2.30 Wh × 3) / (0.80 × 0.88) = 6.90 / 0.704 ≈ </w:t>
      </w:r>
      <w:r>
        <w:rPr>
          <w:rFonts w:ascii="Times New Roman" w:hAnsi="Times New Roman"/>
          <w:b/>
          <w:color w:val="000000"/>
          <w:sz w:val="24"/>
        </w:rPr>
        <w:t>9.80 Watt-hours</w:t>
      </w:r>
    </w:p>
    <w:p>
      <w:pPr>
        <w:spacing w:before="0" w:after="120" w:line="360" w:lineRule="auto"/>
        <w:ind w:firstLine="720"/>
        <w:jc w:val="both"/>
      </w:pPr>
      <w:r>
        <w:rPr>
          <w:rFonts w:ascii="Times New Roman" w:hAnsi="Times New Roman"/>
          <w:b w:val="0"/>
          <w:color w:val="000000"/>
          <w:sz w:val="24"/>
        </w:rPr>
        <w:t>For a 12.8V LiFePO₄ battery chemistry:</w:t>
      </w:r>
    </w:p>
    <w:p>
      <w:pPr>
        <w:spacing w:before="0" w:after="120" w:line="360" w:lineRule="auto"/>
        <w:ind w:firstLine="720"/>
        <w:jc w:val="both"/>
      </w:pPr>
      <w:r>
        <w:rPr>
          <w:rFonts w:ascii="Times New Roman" w:hAnsi="Times New Roman"/>
          <w:b w:val="0"/>
          <w:color w:val="000000"/>
          <w:sz w:val="24"/>
        </w:rPr>
        <w:t xml:space="preserve">C_Ah_required = 9.80 Wh / 12.8V ≈ </w:t>
      </w:r>
      <w:r>
        <w:rPr>
          <w:rFonts w:ascii="Times New Roman" w:hAnsi="Times New Roman"/>
          <w:b/>
          <w:color w:val="000000"/>
          <w:sz w:val="24"/>
        </w:rPr>
        <w:t>0.766 Ampere-hours (766 mAh)</w:t>
      </w:r>
    </w:p>
    <w:p>
      <w:pPr>
        <w:spacing w:before="0" w:after="120" w:line="360" w:lineRule="auto"/>
        <w:ind w:firstLine="720"/>
        <w:jc w:val="both"/>
      </w:pPr>
      <w:r>
        <w:rPr>
          <w:rFonts w:ascii="Times New Roman" w:hAnsi="Times New Roman"/>
          <w:b/>
          <w:color w:val="000000"/>
          <w:sz w:val="24"/>
        </w:rPr>
        <w:t>Engineering Selection Justification:</w:t>
      </w:r>
    </w:p>
    <w:p>
      <w:pPr>
        <w:spacing w:before="0" w:after="120" w:line="360" w:lineRule="auto"/>
        <w:ind w:firstLine="720"/>
        <w:jc w:val="both"/>
      </w:pPr>
      <w:r>
        <w:rPr>
          <w:rFonts w:ascii="Times New Roman" w:hAnsi="Times New Roman"/>
          <w:b w:val="0"/>
          <w:color w:val="000000"/>
          <w:sz w:val="24"/>
        </w:rPr>
        <w:t xml:space="preserve">The selected </w:t>
      </w:r>
      <w:r>
        <w:rPr>
          <w:rFonts w:ascii="Times New Roman" w:hAnsi="Times New Roman"/>
          <w:b/>
          <w:color w:val="000000"/>
          <w:sz w:val="24"/>
        </w:rPr>
        <w:t>12.8V 12Ah LiFePO₄ battery pack</w:t>
      </w:r>
      <w:r>
        <w:rPr>
          <w:rFonts w:ascii="Times New Roman" w:hAnsi="Times New Roman"/>
          <w:b w:val="0"/>
          <w:color w:val="000000"/>
          <w:sz w:val="24"/>
        </w:rPr>
        <w:t xml:space="preserve"> delivers </w:t>
      </w:r>
      <w:r>
        <w:rPr>
          <w:rFonts w:ascii="Times New Roman" w:hAnsi="Times New Roman"/>
          <w:b/>
          <w:color w:val="000000"/>
          <w:sz w:val="24"/>
        </w:rPr>
        <w:t>153.6 Watt-hours</w:t>
      </w:r>
      <w:r>
        <w:rPr>
          <w:rFonts w:ascii="Times New Roman" w:hAnsi="Times New Roman"/>
          <w:b w:val="0"/>
          <w:color w:val="000000"/>
          <w:sz w:val="24"/>
        </w:rPr>
        <w:t xml:space="preserve"> of total storage. The actual battery autonomy is calculated as:</w:t>
      </w:r>
    </w:p>
    <w:p>
      <w:pPr>
        <w:spacing w:before="0" w:after="120" w:line="360" w:lineRule="auto"/>
        <w:ind w:firstLine="720"/>
        <w:jc w:val="both"/>
      </w:pPr>
      <w:r>
        <w:rPr>
          <w:rFonts w:ascii="Times New Roman" w:hAnsi="Times New Roman"/>
          <w:b w:val="0"/>
          <w:color w:val="000000"/>
          <w:sz w:val="24"/>
        </w:rPr>
        <w:t xml:space="preserve">Actual Autonomy = (153.6 Wh × 0.80 × 0.88) / 2.30 Wh/day ≈ </w:t>
      </w:r>
      <w:r>
        <w:rPr>
          <w:rFonts w:ascii="Times New Roman" w:hAnsi="Times New Roman"/>
          <w:b/>
          <w:color w:val="000000"/>
          <w:sz w:val="24"/>
        </w:rPr>
        <w:t>47.0 Days of Continuous Autonomy</w:t>
      </w:r>
    </w:p>
    <w:p>
      <w:pPr>
        <w:spacing w:before="0" w:after="120" w:line="360" w:lineRule="auto"/>
        <w:ind w:firstLine="720"/>
        <w:jc w:val="both"/>
      </w:pPr>
      <w:r>
        <w:rPr>
          <w:rFonts w:ascii="Times New Roman" w:hAnsi="Times New Roman"/>
          <w:b w:val="0"/>
          <w:color w:val="000000"/>
          <w:sz w:val="24"/>
        </w:rPr>
        <w:t>This guarantees that the node will maintain 100% operational uptime through multi-week Philippine monsoon periods.</w:t>
      </w:r>
    </w:p>
    <w:p>
      <w:pPr>
        <w:keepNext/>
        <w:spacing w:before="160" w:after="60"/>
      </w:pPr>
      <w:r>
        <w:rPr>
          <w:rFonts w:ascii="Times New Roman" w:hAnsi="Times New Roman"/>
          <w:b/>
          <w:sz w:val="24"/>
        </w:rPr>
        <w:t>3. Solar PV Panel Sizing (P_solar)</w:t>
      </w:r>
    </w:p>
    <w:p>
      <w:pPr>
        <w:spacing w:before="0" w:after="120" w:line="360" w:lineRule="auto"/>
        <w:ind w:firstLine="720"/>
        <w:jc w:val="both"/>
      </w:pPr>
      <w:r>
        <w:rPr>
          <w:rFonts w:ascii="Times New Roman" w:hAnsi="Times New Roman"/>
          <w:b w:val="0"/>
          <w:color w:val="000000"/>
          <w:sz w:val="24"/>
        </w:rPr>
        <w:t xml:space="preserve">Based on the Philippine national average solar insolation of </w:t>
      </w:r>
      <w:r>
        <w:rPr>
          <w:rFonts w:ascii="Times New Roman" w:hAnsi="Times New Roman"/>
          <w:b/>
          <w:color w:val="000000"/>
          <w:sz w:val="24"/>
        </w:rPr>
        <w:t>4.5 Peak Sun Hours per day (PSH = 4.5 h)</w:t>
      </w:r>
      <w:r>
        <w:rPr>
          <w:rFonts w:ascii="Times New Roman" w:hAnsi="Times New Roman"/>
          <w:b w:val="0"/>
          <w:color w:val="000000"/>
          <w:sz w:val="24"/>
        </w:rPr>
        <w:t xml:space="preserve"> and an overall system efficiency of </w:t>
      </w:r>
      <w:r>
        <w:rPr>
          <w:rFonts w:ascii="Times New Roman" w:hAnsi="Times New Roman"/>
          <w:b/>
          <w:color w:val="000000"/>
          <w:sz w:val="24"/>
        </w:rPr>
        <w:t>75% (η_sys = 0.75)</w:t>
      </w:r>
      <w:r>
        <w:rPr>
          <w:rFonts w:ascii="Times New Roman" w:hAnsi="Times New Roman"/>
          <w:b w:val="0"/>
          <w:color w:val="000000"/>
          <w:sz w:val="24"/>
        </w:rPr>
        <w:t>:</w:t>
      </w:r>
    </w:p>
    <w:p>
      <w:pPr>
        <w:spacing w:before="0" w:after="120" w:line="360" w:lineRule="auto"/>
        <w:ind w:firstLine="720"/>
        <w:jc w:val="both"/>
      </w:pPr>
      <w:r>
        <w:rPr>
          <w:rFonts w:ascii="Times New Roman" w:hAnsi="Times New Roman"/>
          <w:b w:val="0"/>
          <w:color w:val="000000"/>
          <w:sz w:val="24"/>
        </w:rPr>
        <w:t>P_solar_required = E_daily_design / (PSH × η_sys)</w:t>
      </w:r>
    </w:p>
    <w:p>
      <w:pPr>
        <w:spacing w:before="0" w:after="120" w:line="360" w:lineRule="auto"/>
        <w:ind w:firstLine="720"/>
        <w:jc w:val="both"/>
      </w:pPr>
      <w:r>
        <w:rPr>
          <w:rFonts w:ascii="Times New Roman" w:hAnsi="Times New Roman"/>
          <w:b w:val="0"/>
          <w:color w:val="000000"/>
          <w:sz w:val="24"/>
        </w:rPr>
        <w:t xml:space="preserve">P_solar_required = 2.30 Wh / (4.5 h × 0.75) = 2.30 / 3.375 ≈ </w:t>
      </w:r>
      <w:r>
        <w:rPr>
          <w:rFonts w:ascii="Times New Roman" w:hAnsi="Times New Roman"/>
          <w:b/>
          <w:color w:val="000000"/>
          <w:sz w:val="24"/>
        </w:rPr>
        <w:t>0.68 Watts</w:t>
      </w:r>
    </w:p>
    <w:p>
      <w:pPr>
        <w:spacing w:before="0" w:after="120" w:line="360" w:lineRule="auto"/>
        <w:ind w:firstLine="720"/>
        <w:jc w:val="both"/>
      </w:pPr>
      <w:r>
        <w:rPr>
          <w:rFonts w:ascii="Times New Roman" w:hAnsi="Times New Roman"/>
          <w:b/>
          <w:color w:val="000000"/>
          <w:sz w:val="24"/>
        </w:rPr>
        <w:t>Engineering Selection Justification:</w:t>
      </w:r>
    </w:p>
    <w:p>
      <w:pPr>
        <w:spacing w:before="0" w:after="120" w:line="360" w:lineRule="auto"/>
        <w:ind w:firstLine="720"/>
        <w:jc w:val="both"/>
      </w:pPr>
      <w:r>
        <w:rPr>
          <w:rFonts w:ascii="Times New Roman" w:hAnsi="Times New Roman"/>
          <w:b w:val="0"/>
          <w:color w:val="000000"/>
          <w:sz w:val="24"/>
        </w:rPr>
        <w:t xml:space="preserve">The selected </w:t>
      </w:r>
      <w:r>
        <w:rPr>
          <w:rFonts w:ascii="Times New Roman" w:hAnsi="Times New Roman"/>
          <w:b/>
          <w:color w:val="000000"/>
          <w:sz w:val="24"/>
        </w:rPr>
        <w:t>20W Monocrystalline Solar Panel</w:t>
      </w:r>
      <w:r>
        <w:rPr>
          <w:rFonts w:ascii="Times New Roman" w:hAnsi="Times New Roman"/>
          <w:b w:val="0"/>
          <w:color w:val="000000"/>
          <w:sz w:val="24"/>
        </w:rPr>
        <w:t xml:space="preserve"> generates approximately:</w:t>
      </w:r>
    </w:p>
    <w:p>
      <w:pPr>
        <w:spacing w:before="0" w:after="120" w:line="360" w:lineRule="auto"/>
        <w:ind w:firstLine="720"/>
        <w:jc w:val="both"/>
      </w:pPr>
      <w:r>
        <w:rPr>
          <w:rFonts w:ascii="Times New Roman" w:hAnsi="Times New Roman"/>
          <w:b w:val="0"/>
          <w:color w:val="000000"/>
          <w:sz w:val="24"/>
        </w:rPr>
        <w:t xml:space="preserve">Daily Energy Generation = 20W × 4.5 h × 0.75 = </w:t>
      </w:r>
      <w:r>
        <w:rPr>
          <w:rFonts w:ascii="Times New Roman" w:hAnsi="Times New Roman"/>
          <w:b/>
          <w:color w:val="000000"/>
          <w:sz w:val="24"/>
        </w:rPr>
        <w:t>67.5 Watt-hours per day</w:t>
      </w:r>
    </w:p>
    <w:p>
      <w:pPr>
        <w:spacing w:before="0" w:after="120" w:line="360" w:lineRule="auto"/>
        <w:ind w:firstLine="720"/>
        <w:jc w:val="both"/>
      </w:pPr>
      <w:r>
        <w:rPr>
          <w:rFonts w:ascii="Times New Roman" w:hAnsi="Times New Roman"/>
          <w:b w:val="0"/>
          <w:color w:val="000000"/>
          <w:sz w:val="24"/>
        </w:rPr>
        <w:t xml:space="preserve">This exceeds the daily requirement by a factor of 29, allowing the battery to fully replenish its consumed daily power within </w:t>
      </w:r>
      <w:r>
        <w:rPr>
          <w:rFonts w:ascii="Times New Roman" w:hAnsi="Times New Roman"/>
          <w:b/>
          <w:color w:val="000000"/>
          <w:sz w:val="24"/>
        </w:rPr>
        <w:t>15 minutes of direct sunlight</w:t>
      </w:r>
      <w:r>
        <w:rPr>
          <w:rFonts w:ascii="Times New Roman" w:hAnsi="Times New Roman"/>
          <w:b w:val="0"/>
          <w:color w:val="000000"/>
          <w:sz w:val="24"/>
        </w:rPr>
        <w:t xml:space="preserve"> or sustain positive charging under diffuse cloudy daylight.</w:t>
      </w:r>
    </w:p>
    <w:p>
      <w:pPr>
        <w:keepNext/>
        <w:spacing w:before="200" w:after="80"/>
        <w:jc w:val="left"/>
      </w:pPr>
      <w:r>
        <w:rPr>
          <w:rFonts w:ascii="Times New Roman" w:hAnsi="Times New Roman"/>
          <w:b/>
          <w:sz w:val="24"/>
        </w:rPr>
        <w:t>3.3.4 Literature-Supported Disease-Risk Assessment Algorithms</w:t>
      </w:r>
    </w:p>
    <w:p>
      <w:pPr>
        <w:keepNext/>
        <w:spacing w:before="240" w:after="80"/>
        <w:jc w:val="left"/>
      </w:pPr>
      <w:r>
        <w:rPr>
          <w:rFonts w:ascii="Times New Roman" w:hAnsi="Times New Roman"/>
          <w:b/>
          <w:color w:val="000000"/>
          <w:sz w:val="24"/>
        </w:rPr>
        <w:t>Table 11: Literature-Based Environmental Threshold Values for Solanaceae Crops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EAEAEA"/>
            <w:tcMar>
              <w:top w:w="80" w:type="dxa"/>
              <w:bottom w:w="80" w:type="dxa"/>
              <w:left w:w="120" w:type="dxa"/>
              <w:right w:w="120" w:type="dxa"/>
            </w:tcMar>
          </w:tcPr>
          <w:p>
            <w:pPr>
              <w:spacing w:before="60" w:after="60" w:line="276" w:lineRule="auto"/>
              <w:jc w:val="left"/>
            </w:pPr>
            <w:r>
              <w:rPr>
                <w:rFonts w:ascii="Times New Roman" w:hAnsi="Times New Roman"/>
                <w:b/>
                <w:color w:val="000000"/>
              </w:rPr>
            </w:r>
            <w:r>
              <w:rPr>
                <w:rFonts w:ascii="Times New Roman" w:hAnsi="Times New Roman"/>
                <w:b/>
                <w:color w:val="000000"/>
                <w:sz w:val="21"/>
              </w:rPr>
              <w:t>Environmental Parameter</w:t>
            </w:r>
          </w:p>
        </w:tc>
        <w:tc>
          <w:tcPr>
            <w:tcW w:type="dxa" w:w="1560"/>
            <w:shd w:fill="EAEAEA"/>
            <w:tcMar>
              <w:top w:w="80" w:type="dxa"/>
              <w:bottom w:w="80" w:type="dxa"/>
              <w:left w:w="120" w:type="dxa"/>
              <w:right w:w="120" w:type="dxa"/>
            </w:tcMar>
          </w:tcPr>
          <w:p>
            <w:pPr>
              <w:spacing w:before="60" w:after="60" w:line="276" w:lineRule="auto"/>
              <w:jc w:val="left"/>
            </w:pPr>
            <w:r>
              <w:rPr>
                <w:rFonts w:ascii="Times New Roman" w:hAnsi="Times New Roman"/>
                <w:b/>
                <w:color w:val="000000"/>
              </w:rPr>
            </w:r>
            <w:r>
              <w:rPr>
                <w:rFonts w:ascii="Times New Roman" w:hAnsi="Times New Roman"/>
                <w:b/>
                <w:color w:val="000000"/>
                <w:sz w:val="21"/>
              </w:rPr>
              <w:t>Sensor Used</w:t>
            </w:r>
          </w:p>
        </w:tc>
        <w:tc>
          <w:tcPr>
            <w:tcW w:type="dxa" w:w="1560"/>
            <w:shd w:fill="EAEAEA"/>
            <w:tcMar>
              <w:top w:w="80" w:type="dxa"/>
              <w:bottom w:w="80" w:type="dxa"/>
              <w:left w:w="120" w:type="dxa"/>
              <w:right w:w="120" w:type="dxa"/>
            </w:tcMar>
          </w:tcPr>
          <w:p>
            <w:pPr>
              <w:spacing w:before="60" w:after="60" w:line="276" w:lineRule="auto"/>
              <w:jc w:val="left"/>
            </w:pPr>
            <w:r>
              <w:rPr>
                <w:rFonts w:ascii="Times New Roman" w:hAnsi="Times New Roman"/>
                <w:b/>
                <w:color w:val="000000"/>
              </w:rPr>
            </w:r>
            <w:r>
              <w:rPr>
                <w:rFonts w:ascii="Times New Roman" w:hAnsi="Times New Roman"/>
                <w:b/>
                <w:color w:val="000000"/>
                <w:sz w:val="21"/>
              </w:rPr>
              <w:t>Safe Baseline (Optimal Growth)</w:t>
            </w:r>
          </w:p>
        </w:tc>
        <w:tc>
          <w:tcPr>
            <w:tcW w:type="dxa" w:w="1560"/>
            <w:shd w:fill="EAEAEA"/>
            <w:tcMar>
              <w:top w:w="80" w:type="dxa"/>
              <w:bottom w:w="80" w:type="dxa"/>
              <w:left w:w="120" w:type="dxa"/>
              <w:right w:w="120" w:type="dxa"/>
            </w:tcMar>
          </w:tcPr>
          <w:p>
            <w:pPr>
              <w:spacing w:before="60" w:after="60" w:line="276" w:lineRule="auto"/>
              <w:jc w:val="left"/>
            </w:pPr>
            <w:r>
              <w:rPr>
                <w:rFonts w:ascii="Times New Roman" w:hAnsi="Times New Roman"/>
                <w:b/>
                <w:color w:val="000000"/>
              </w:rPr>
            </w:r>
            <w:r>
              <w:rPr>
                <w:rFonts w:ascii="Times New Roman" w:hAnsi="Times New Roman"/>
                <w:b/>
                <w:color w:val="000000"/>
                <w:sz w:val="21"/>
              </w:rPr>
              <w:t>High-Risk Threshold: Late Blight (</w:t>
            </w:r>
            <w:r>
              <w:rPr>
                <w:rFonts w:ascii="Times New Roman" w:hAnsi="Times New Roman"/>
                <w:b/>
                <w:i/>
                <w:color w:val="000000"/>
                <w:sz w:val="21"/>
              </w:rPr>
              <w:t>P. infestans</w:t>
            </w:r>
            <w:r>
              <w:rPr>
                <w:rFonts w:ascii="Times New Roman" w:hAnsi="Times New Roman"/>
                <w:b/>
                <w:color w:val="000000"/>
                <w:sz w:val="21"/>
              </w:rPr>
              <w:t>)</w:t>
            </w:r>
          </w:p>
        </w:tc>
        <w:tc>
          <w:tcPr>
            <w:tcW w:type="dxa" w:w="1560"/>
            <w:shd w:fill="EAEAEA"/>
            <w:tcMar>
              <w:top w:w="80" w:type="dxa"/>
              <w:bottom w:w="80" w:type="dxa"/>
              <w:left w:w="120" w:type="dxa"/>
              <w:right w:w="120" w:type="dxa"/>
            </w:tcMar>
          </w:tcPr>
          <w:p>
            <w:pPr>
              <w:spacing w:before="60" w:after="60" w:line="276" w:lineRule="auto"/>
              <w:jc w:val="left"/>
            </w:pPr>
            <w:r>
              <w:rPr>
                <w:rFonts w:ascii="Times New Roman" w:hAnsi="Times New Roman"/>
                <w:b/>
                <w:color w:val="000000"/>
              </w:rPr>
            </w:r>
            <w:r>
              <w:rPr>
                <w:rFonts w:ascii="Times New Roman" w:hAnsi="Times New Roman"/>
                <w:b/>
                <w:color w:val="000000"/>
                <w:sz w:val="21"/>
              </w:rPr>
              <w:t>High-Risk Threshold: Bacterial Wilt (</w:t>
            </w:r>
            <w:r>
              <w:rPr>
                <w:rFonts w:ascii="Times New Roman" w:hAnsi="Times New Roman"/>
                <w:b/>
                <w:i/>
                <w:color w:val="000000"/>
                <w:sz w:val="21"/>
              </w:rPr>
              <w:t>R. pseudosolanacearum</w:t>
            </w:r>
            <w:r>
              <w:rPr>
                <w:rFonts w:ascii="Times New Roman" w:hAnsi="Times New Roman"/>
                <w:b/>
                <w:color w:val="000000"/>
                <w:sz w:val="21"/>
              </w:rPr>
              <w:t>)</w:t>
            </w:r>
          </w:p>
        </w:tc>
        <w:tc>
          <w:tcPr>
            <w:tcW w:type="dxa" w:w="1560"/>
            <w:shd w:fill="EAEAEA"/>
            <w:tcMar>
              <w:top w:w="80" w:type="dxa"/>
              <w:bottom w:w="80" w:type="dxa"/>
              <w:left w:w="120" w:type="dxa"/>
              <w:right w:w="120" w:type="dxa"/>
            </w:tcMar>
          </w:tcPr>
          <w:p>
            <w:pPr>
              <w:spacing w:before="60" w:after="60" w:line="276" w:lineRule="auto"/>
              <w:jc w:val="left"/>
            </w:pPr>
            <w:r>
              <w:rPr>
                <w:rFonts w:ascii="Times New Roman" w:hAnsi="Times New Roman"/>
                <w:b/>
                <w:color w:val="000000"/>
              </w:rPr>
            </w:r>
            <w:r>
              <w:rPr>
                <w:rFonts w:ascii="Times New Roman" w:hAnsi="Times New Roman"/>
                <w:b/>
                <w:color w:val="000000"/>
                <w:sz w:val="21"/>
              </w:rPr>
              <w:t>Research Grounding</w:t>
            </w:r>
          </w:p>
        </w:tc>
      </w:tr>
      <w:tr>
        <w:tc>
          <w:tcPr>
            <w:tcW w:type="dxa" w:w="156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color w:val="000000"/>
                <w:sz w:val="21"/>
              </w:rPr>
              <w:t>Air Temperature</w:t>
            </w:r>
          </w:p>
        </w:tc>
        <w:tc>
          <w:tcPr>
            <w:tcW w:type="dxa" w:w="156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DHT22 (Stevenson Shield)</w:t>
            </w:r>
          </w:p>
        </w:tc>
        <w:tc>
          <w:tcPr>
            <w:tcW w:type="dxa" w:w="156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24°C – 28°C</w:t>
            </w:r>
          </w:p>
        </w:tc>
        <w:tc>
          <w:tcPr>
            <w:tcW w:type="dxa" w:w="156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color w:val="000000"/>
                <w:sz w:val="21"/>
              </w:rPr>
              <w:t>12°C – 22°C</w:t>
            </w:r>
          </w:p>
        </w:tc>
        <w:tc>
          <w:tcPr>
            <w:tcW w:type="dxa" w:w="156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28°C – 35°C</w:t>
            </w:r>
          </w:p>
        </w:tc>
        <w:tc>
          <w:tcPr>
            <w:tcW w:type="dxa" w:w="156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Boulton et al. (2023); Mazumdar et al. (2021)</w:t>
            </w:r>
          </w:p>
        </w:tc>
      </w:tr>
      <w:tr>
        <w:tc>
          <w:tcPr>
            <w:tcW w:type="dxa" w:w="156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color w:val="000000"/>
                <w:sz w:val="21"/>
              </w:rPr>
              <w:t>Relative Humidity</w:t>
            </w:r>
          </w:p>
        </w:tc>
        <w:tc>
          <w:tcPr>
            <w:tcW w:type="dxa" w:w="156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DHT22 (Stevenson Shield)</w:t>
            </w:r>
          </w:p>
        </w:tc>
        <w:tc>
          <w:tcPr>
            <w:tcW w:type="dxa" w:w="156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60% – 80% RH</w:t>
            </w:r>
          </w:p>
        </w:tc>
        <w:tc>
          <w:tcPr>
            <w:tcW w:type="dxa" w:w="156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color w:val="000000"/>
                <w:sz w:val="21"/>
              </w:rPr>
              <w:t>≥ 90% RH</w:t>
            </w:r>
          </w:p>
        </w:tc>
        <w:tc>
          <w:tcPr>
            <w:tcW w:type="dxa" w:w="156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 85% RH</w:t>
            </w:r>
          </w:p>
        </w:tc>
        <w:tc>
          <w:tcPr>
            <w:tcW w:type="dxa" w:w="156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Mazumdar et al. (2021); Tao et al. (2024)</w:t>
            </w:r>
          </w:p>
        </w:tc>
      </w:tr>
      <w:tr>
        <w:tc>
          <w:tcPr>
            <w:tcW w:type="dxa" w:w="156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color w:val="000000"/>
                <w:sz w:val="21"/>
              </w:rPr>
              <w:t>Leaf Wetness Duration</w:t>
            </w:r>
          </w:p>
        </w:tc>
        <w:tc>
          <w:tcPr>
            <w:tcW w:type="dxa" w:w="156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RS485 Modbus Sensor</w:t>
            </w:r>
          </w:p>
        </w:tc>
        <w:tc>
          <w:tcPr>
            <w:tcW w:type="dxa" w:w="156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0 hours (Dry leaves)</w:t>
            </w:r>
          </w:p>
        </w:tc>
        <w:tc>
          <w:tcPr>
            <w:tcW w:type="dxa" w:w="156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color w:val="000000"/>
                <w:sz w:val="21"/>
              </w:rPr>
              <w:t>≥ 10 continuous hours</w:t>
            </w:r>
          </w:p>
        </w:tc>
        <w:tc>
          <w:tcPr>
            <w:tcW w:type="dxa" w:w="156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Not a primary foliar driver</w:t>
            </w:r>
          </w:p>
        </w:tc>
        <w:tc>
          <w:tcPr>
            <w:tcW w:type="dxa" w:w="156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Boulton et al. (2023); IFAS Extension (n.d.)</w:t>
            </w:r>
          </w:p>
        </w:tc>
      </w:tr>
      <w:tr>
        <w:tc>
          <w:tcPr>
            <w:tcW w:type="dxa" w:w="156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color w:val="000000"/>
                <w:sz w:val="21"/>
              </w:rPr>
              <w:t>Soil Temperature</w:t>
            </w:r>
          </w:p>
        </w:tc>
        <w:tc>
          <w:tcPr>
            <w:tcW w:type="dxa" w:w="156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DS18B20 (10cm depth)</w:t>
            </w:r>
          </w:p>
        </w:tc>
        <w:tc>
          <w:tcPr>
            <w:tcW w:type="dxa" w:w="156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18°C – 24°C</w:t>
            </w:r>
          </w:p>
        </w:tc>
        <w:tc>
          <w:tcPr>
            <w:tcW w:type="dxa" w:w="156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&lt; 20°C (when humid)</w:t>
            </w:r>
          </w:p>
        </w:tc>
        <w:tc>
          <w:tcPr>
            <w:tcW w:type="dxa" w:w="156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color w:val="000000"/>
                <w:sz w:val="21"/>
              </w:rPr>
              <w:t>28°C – 35°C (Optimal bacterial activity)</w:t>
            </w:r>
          </w:p>
        </w:tc>
        <w:tc>
          <w:tcPr>
            <w:tcW w:type="dxa" w:w="156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Silva et al. (2024); Subedi et al. (2024)</w:t>
            </w:r>
          </w:p>
        </w:tc>
      </w:tr>
      <w:tr>
        <w:tc>
          <w:tcPr>
            <w:tcW w:type="dxa" w:w="156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color w:val="000000"/>
                <w:sz w:val="21"/>
              </w:rPr>
              <w:t>Soil Moisture</w:t>
            </w:r>
          </w:p>
        </w:tc>
        <w:tc>
          <w:tcPr>
            <w:tcW w:type="dxa" w:w="156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Capacitive v1.2 (10cm)</w:t>
            </w:r>
          </w:p>
        </w:tc>
        <w:tc>
          <w:tcPr>
            <w:tcW w:type="dxa" w:w="156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40% – 60% VWC</w:t>
            </w:r>
          </w:p>
        </w:tc>
        <w:tc>
          <w:tcPr>
            <w:tcW w:type="dxa" w:w="156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&gt; 60% VWC</w:t>
            </w:r>
          </w:p>
        </w:tc>
        <w:tc>
          <w:tcPr>
            <w:tcW w:type="dxa" w:w="156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color w:val="000000"/>
                <w:sz w:val="21"/>
              </w:rPr>
              <w:t>≥ 75% VWC (Saturated / Waterlogged)</w:t>
            </w:r>
          </w:p>
        </w:tc>
        <w:tc>
          <w:tcPr>
            <w:tcW w:type="dxa" w:w="156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Jiang et al. (2021); Subedi et al. (2024)</w:t>
            </w:r>
          </w:p>
        </w:tc>
      </w:tr>
    </w:tbl>
    <w:p>
      <w:pPr>
        <w:spacing w:after="120"/>
      </w:pPr>
    </w:p>
    <w:p>
      <w:pPr>
        <w:keepNext/>
        <w:spacing w:before="160" w:after="60"/>
      </w:pPr>
      <w:r>
        <w:rPr>
          <w:rFonts w:ascii="Times New Roman" w:hAnsi="Times New Roman"/>
          <w:b/>
          <w:sz w:val="24"/>
        </w:rPr>
        <w:t>1. Late Blight (*Phytophthora infestans*) Severity Algorithm</w:t>
      </w:r>
    </w:p>
    <w:p>
      <w:pPr>
        <w:spacing w:before="0" w:after="120" w:line="360" w:lineRule="auto"/>
        <w:ind w:firstLine="720"/>
        <w:jc w:val="both"/>
      </w:pPr>
      <w:r>
        <w:rPr>
          <w:rFonts w:ascii="Times New Roman" w:hAnsi="Times New Roman"/>
          <w:b w:val="0"/>
          <w:color w:val="000000"/>
          <w:sz w:val="24"/>
        </w:rPr>
        <w:t xml:space="preserve">The Late Blight algorithm computes an </w:t>
      </w:r>
      <w:r>
        <w:rPr>
          <w:rFonts w:ascii="Times New Roman" w:hAnsi="Times New Roman"/>
          <w:b/>
          <w:color w:val="000000"/>
          <w:sz w:val="24"/>
        </w:rPr>
        <w:t>Adapted Wallin Severity Value (SV)</w:t>
      </w:r>
      <w:r>
        <w:rPr>
          <w:rFonts w:ascii="Times New Roman" w:hAnsi="Times New Roman"/>
          <w:b w:val="0"/>
          <w:color w:val="000000"/>
          <w:sz w:val="24"/>
        </w:rPr>
        <w:t xml:space="preserve"> tracking cumulative leaf wetness duration:</w:t>
      </w:r>
    </w:p>
    <w:p>
      <w:pPr>
        <w:pStyle w:val="ListBullet"/>
        <w:spacing w:after="60" w:line="360" w:lineRule="auto"/>
      </w:pPr>
      <w:r>
        <w:rPr>
          <w:rFonts w:ascii="Times New Roman" w:hAnsi="Times New Roman"/>
          <w:b/>
          <w:color w:val="000000"/>
          <w:sz w:val="24"/>
        </w:rPr>
        <w:t>Condition 1 (Low Risk - Green)</w:t>
      </w:r>
      <w:r>
        <w:rPr>
          <w:rFonts w:ascii="Times New Roman" w:hAnsi="Times New Roman"/>
          <w:b w:val="0"/>
          <w:color w:val="000000"/>
          <w:sz w:val="24"/>
        </w:rPr>
        <w:t>: Leaf Wetness Duration (LWD) &lt; 6 continuous hours, regardless of temperature. (SV = 0)</w:t>
      </w:r>
    </w:p>
    <w:p>
      <w:pPr>
        <w:pStyle w:val="ListBullet"/>
        <w:spacing w:after="60" w:line="360" w:lineRule="auto"/>
      </w:pPr>
      <w:r>
        <w:rPr>
          <w:rFonts w:ascii="Times New Roman" w:hAnsi="Times New Roman"/>
          <w:b/>
          <w:color w:val="000000"/>
          <w:sz w:val="24"/>
        </w:rPr>
        <w:t>Condition 2 (Moderate Risk - Yellow)</w:t>
      </w:r>
      <w:r>
        <w:rPr>
          <w:rFonts w:ascii="Times New Roman" w:hAnsi="Times New Roman"/>
          <w:b w:val="0"/>
          <w:color w:val="000000"/>
          <w:sz w:val="24"/>
        </w:rPr>
        <w:t>:</w:t>
      </w:r>
    </w:p>
    <w:p>
      <w:pPr>
        <w:pStyle w:val="ListBullet"/>
        <w:spacing w:after="60" w:line="360" w:lineRule="auto"/>
      </w:pPr>
      <w:r>
        <w:rPr>
          <w:rFonts w:ascii="Times New Roman" w:hAnsi="Times New Roman"/>
          <w:b w:val="0"/>
          <w:color w:val="000000"/>
          <w:sz w:val="24"/>
        </w:rPr>
        <w:t>Sub-case A: 6 ≤ LWD &lt; 10 continuous hours with Air Temperature between 12°C and 22°C. (SV = 1)</w:t>
      </w:r>
    </w:p>
    <w:p>
      <w:pPr>
        <w:pStyle w:val="ListBullet"/>
        <w:spacing w:after="60" w:line="360" w:lineRule="auto"/>
      </w:pPr>
      <w:r>
        <w:rPr>
          <w:rFonts w:ascii="Times New Roman" w:hAnsi="Times New Roman"/>
          <w:b w:val="0"/>
          <w:color w:val="000000"/>
          <w:sz w:val="24"/>
        </w:rPr>
        <w:t>Sub-case B: 10 ≤ LWD &lt; 15 continuous hours with Air Temperature between 12°C and 22°C. (SV = 2)</w:t>
      </w:r>
    </w:p>
    <w:p>
      <w:pPr>
        <w:pStyle w:val="ListBullet"/>
        <w:spacing w:after="60" w:line="360" w:lineRule="auto"/>
      </w:pPr>
      <w:r>
        <w:rPr>
          <w:rFonts w:ascii="Times New Roman" w:hAnsi="Times New Roman"/>
          <w:b/>
          <w:color w:val="000000"/>
          <w:sz w:val="24"/>
        </w:rPr>
        <w:t>Condition 3 (High Risk - Red Alert)</w:t>
      </w:r>
      <w:r>
        <w:rPr>
          <w:rFonts w:ascii="Times New Roman" w:hAnsi="Times New Roman"/>
          <w:b w:val="0"/>
          <w:color w:val="000000"/>
          <w:sz w:val="24"/>
        </w:rPr>
        <w:t>: LWD ≥ 15 continuous hours with Air Temperature between 12°C and 22°C, or LWD ≥ 10 continuous hours with Relative Humidity ≥ 90%. (SV = 3; triggers immediate early warning alert).</w:t>
      </w:r>
    </w:p>
    <w:p>
      <w:pPr>
        <w:keepNext/>
        <w:spacing w:before="160" w:after="60"/>
      </w:pPr>
      <w:r>
        <w:rPr>
          <w:rFonts w:ascii="Times New Roman" w:hAnsi="Times New Roman"/>
          <w:b/>
          <w:sz w:val="24"/>
        </w:rPr>
        <w:t>2. Bacterial Wilt (*Ralstonia pseudosolanacearum*) Hydrothermal Score</w:t>
      </w:r>
    </w:p>
    <w:p>
      <w:pPr>
        <w:spacing w:before="0" w:after="120" w:line="360" w:lineRule="auto"/>
        <w:ind w:firstLine="720"/>
        <w:jc w:val="both"/>
      </w:pPr>
      <w:r>
        <w:rPr>
          <w:rFonts w:ascii="Times New Roman" w:hAnsi="Times New Roman"/>
          <w:b w:val="0"/>
          <w:color w:val="000000"/>
          <w:sz w:val="24"/>
        </w:rPr>
        <w:t>The Bacterial Wilt index computes a weighted soil hydrothermal risk score (R_BW):</w:t>
      </w:r>
    </w:p>
    <w:p>
      <w:pPr>
        <w:spacing w:before="0" w:after="120" w:line="360" w:lineRule="auto"/>
        <w:ind w:firstLine="720"/>
        <w:jc w:val="both"/>
      </w:pPr>
      <w:r>
        <w:rPr>
          <w:rFonts w:ascii="Times New Roman" w:hAnsi="Times New Roman"/>
          <w:b/>
          <w:color w:val="000000"/>
          <w:sz w:val="24"/>
        </w:rPr>
        <w:t>R_BW = (0.50 × S_ST) + (0.50 × S_SM)</w:t>
      </w:r>
    </w:p>
    <w:p>
      <w:pPr>
        <w:spacing w:before="0" w:after="120" w:line="360" w:lineRule="auto"/>
        <w:ind w:firstLine="720"/>
        <w:jc w:val="both"/>
      </w:pPr>
      <w:r>
        <w:rPr>
          <w:rFonts w:ascii="Times New Roman" w:hAnsi="Times New Roman"/>
          <w:b w:val="0"/>
          <w:color w:val="000000"/>
          <w:sz w:val="24"/>
        </w:rPr>
        <w:t>Where:</w:t>
      </w:r>
    </w:p>
    <w:p>
      <w:pPr>
        <w:pStyle w:val="ListBullet"/>
        <w:spacing w:after="60" w:line="360" w:lineRule="auto"/>
      </w:pPr>
      <w:r>
        <w:rPr>
          <w:rFonts w:ascii="Times New Roman" w:hAnsi="Times New Roman"/>
          <w:b/>
          <w:color w:val="000000"/>
          <w:sz w:val="24"/>
        </w:rPr>
        <w:t>Soil Temperature Factor (S_ST):</w:t>
      </w:r>
    </w:p>
    <w:p>
      <w:pPr>
        <w:pStyle w:val="ListBullet"/>
        <w:spacing w:after="60" w:line="360" w:lineRule="auto"/>
      </w:pPr>
      <w:r>
        <w:rPr>
          <w:rFonts w:ascii="Times New Roman" w:hAnsi="Times New Roman"/>
          <w:b w:val="0"/>
          <w:color w:val="000000"/>
          <w:sz w:val="24"/>
        </w:rPr>
        <w:t>S_ST = 1.0, if Soil Temperature is between 28°C and 35°C (Optimal bacterial proliferation).</w:t>
      </w:r>
    </w:p>
    <w:p>
      <w:pPr>
        <w:pStyle w:val="ListBullet"/>
        <w:spacing w:after="60" w:line="360" w:lineRule="auto"/>
      </w:pPr>
      <w:r>
        <w:rPr>
          <w:rFonts w:ascii="Times New Roman" w:hAnsi="Times New Roman"/>
          <w:b w:val="0"/>
          <w:color w:val="000000"/>
          <w:sz w:val="24"/>
        </w:rPr>
        <w:t>S_ST = 0.6, if Soil Temperature is between 25°C and 28°C.</w:t>
      </w:r>
    </w:p>
    <w:p>
      <w:pPr>
        <w:pStyle w:val="ListBullet"/>
        <w:spacing w:after="60" w:line="360" w:lineRule="auto"/>
      </w:pPr>
      <w:r>
        <w:rPr>
          <w:rFonts w:ascii="Times New Roman" w:hAnsi="Times New Roman"/>
          <w:b w:val="0"/>
          <w:color w:val="000000"/>
          <w:sz w:val="24"/>
        </w:rPr>
        <w:t>S_ST = 0.2, if Soil Temperature is between 20°C and 25°C.</w:t>
      </w:r>
    </w:p>
    <w:p>
      <w:pPr>
        <w:pStyle w:val="ListBullet"/>
        <w:spacing w:after="60" w:line="360" w:lineRule="auto"/>
      </w:pPr>
      <w:r>
        <w:rPr>
          <w:rFonts w:ascii="Times New Roman" w:hAnsi="Times New Roman"/>
          <w:b w:val="0"/>
          <w:color w:val="000000"/>
          <w:sz w:val="24"/>
        </w:rPr>
        <w:t>S_ST = 0.0, if Soil Temperature is below 20°C or above 38°C.</w:t>
      </w:r>
    </w:p>
    <w:p>
      <w:pPr>
        <w:pStyle w:val="ListBullet"/>
        <w:spacing w:after="60" w:line="360" w:lineRule="auto"/>
      </w:pPr>
      <w:r>
        <w:rPr>
          <w:rFonts w:ascii="Times New Roman" w:hAnsi="Times New Roman"/>
          <w:b/>
          <w:color w:val="000000"/>
          <w:sz w:val="24"/>
        </w:rPr>
        <w:t>Soil Moisture Factor (S_SM):</w:t>
      </w:r>
    </w:p>
    <w:p>
      <w:pPr>
        <w:pStyle w:val="ListBullet"/>
        <w:spacing w:after="60" w:line="360" w:lineRule="auto"/>
      </w:pPr>
      <w:r>
        <w:rPr>
          <w:rFonts w:ascii="Times New Roman" w:hAnsi="Times New Roman"/>
          <w:b w:val="0"/>
          <w:color w:val="000000"/>
          <w:sz w:val="24"/>
        </w:rPr>
        <w:t>S_SM = 1.0, if Soil Moisture ≥ 75% VWC (Saturated / Waterlogged conditions).</w:t>
      </w:r>
    </w:p>
    <w:p>
      <w:pPr>
        <w:pStyle w:val="ListBullet"/>
        <w:spacing w:after="60" w:line="360" w:lineRule="auto"/>
      </w:pPr>
      <w:r>
        <w:rPr>
          <w:rFonts w:ascii="Times New Roman" w:hAnsi="Times New Roman"/>
          <w:b w:val="0"/>
          <w:color w:val="000000"/>
          <w:sz w:val="24"/>
        </w:rPr>
        <w:t>S_SM = 0.6, if Soil Moisture is between 60% and 75% VWC.</w:t>
      </w:r>
    </w:p>
    <w:p>
      <w:pPr>
        <w:pStyle w:val="ListBullet"/>
        <w:spacing w:after="60" w:line="360" w:lineRule="auto"/>
      </w:pPr>
      <w:r>
        <w:rPr>
          <w:rFonts w:ascii="Times New Roman" w:hAnsi="Times New Roman"/>
          <w:b w:val="0"/>
          <w:color w:val="000000"/>
          <w:sz w:val="24"/>
        </w:rPr>
        <w:t>S_SM = 0.2, if Soil Moisture is between 40% and 60% VWC (Optimal crop field capacity).</w:t>
      </w:r>
    </w:p>
    <w:p>
      <w:pPr>
        <w:pStyle w:val="ListBullet"/>
        <w:spacing w:after="60" w:line="360" w:lineRule="auto"/>
      </w:pPr>
      <w:r>
        <w:rPr>
          <w:rFonts w:ascii="Times New Roman" w:hAnsi="Times New Roman"/>
          <w:b w:val="0"/>
          <w:color w:val="000000"/>
          <w:sz w:val="24"/>
        </w:rPr>
        <w:t>S_SM = 0.0, if Soil Moisture is below 40% VWC (Dry soil).</w:t>
      </w:r>
    </w:p>
    <w:p>
      <w:pPr>
        <w:spacing w:before="0" w:after="120" w:line="360" w:lineRule="auto"/>
        <w:ind w:firstLine="720"/>
        <w:jc w:val="both"/>
      </w:pPr>
      <w:r>
        <w:rPr>
          <w:rFonts w:ascii="Times New Roman" w:hAnsi="Times New Roman"/>
          <w:b/>
          <w:color w:val="000000"/>
          <w:sz w:val="24"/>
        </w:rPr>
        <w:t>Bacterial Wilt Risk Level Classification:</w:t>
      </w:r>
    </w:p>
    <w:p>
      <w:pPr>
        <w:pStyle w:val="ListBullet"/>
        <w:spacing w:after="60" w:line="360" w:lineRule="auto"/>
      </w:pPr>
      <w:r>
        <w:rPr>
          <w:rFonts w:ascii="Times New Roman" w:hAnsi="Times New Roman"/>
          <w:b/>
          <w:color w:val="000000"/>
          <w:sz w:val="24"/>
        </w:rPr>
        <w:t>LOW RISK (Green)</w:t>
      </w:r>
      <w:r>
        <w:rPr>
          <w:rFonts w:ascii="Times New Roman" w:hAnsi="Times New Roman"/>
          <w:b w:val="0"/>
          <w:color w:val="000000"/>
          <w:sz w:val="24"/>
        </w:rPr>
        <w:t>: R_BW &lt; 0.40</w:t>
      </w:r>
    </w:p>
    <w:p>
      <w:pPr>
        <w:pStyle w:val="ListBullet"/>
        <w:spacing w:after="60" w:line="360" w:lineRule="auto"/>
      </w:pPr>
      <w:r>
        <w:rPr>
          <w:rFonts w:ascii="Times New Roman" w:hAnsi="Times New Roman"/>
          <w:b/>
          <w:color w:val="000000"/>
          <w:sz w:val="24"/>
        </w:rPr>
        <w:t>MODERATE RISK (Yellow)</w:t>
      </w:r>
      <w:r>
        <w:rPr>
          <w:rFonts w:ascii="Times New Roman" w:hAnsi="Times New Roman"/>
          <w:b w:val="0"/>
          <w:color w:val="000000"/>
          <w:sz w:val="24"/>
        </w:rPr>
        <w:t>: 0.40 ≤ R_BW &lt; 0.70</w:t>
      </w:r>
    </w:p>
    <w:p>
      <w:pPr>
        <w:pStyle w:val="ListBullet"/>
        <w:spacing w:after="60" w:line="360" w:lineRule="auto"/>
      </w:pPr>
      <w:r>
        <w:rPr>
          <w:rFonts w:ascii="Times New Roman" w:hAnsi="Times New Roman"/>
          <w:b/>
          <w:color w:val="000000"/>
          <w:sz w:val="24"/>
        </w:rPr>
        <w:t>HIGH RISK (Red Alert)</w:t>
      </w:r>
      <w:r>
        <w:rPr>
          <w:rFonts w:ascii="Times New Roman" w:hAnsi="Times New Roman"/>
          <w:b w:val="0"/>
          <w:color w:val="000000"/>
          <w:sz w:val="24"/>
        </w:rPr>
        <w:t>: R_BW ≥ 0.70 (triggers immediate early warning notification).</w:t>
      </w:r>
    </w:p>
    <w:p>
      <w:pPr>
        <w:keepNext/>
        <w:spacing w:before="200" w:after="80"/>
        <w:jc w:val="left"/>
      </w:pPr>
      <w:r>
        <w:rPr>
          <w:rFonts w:ascii="Times New Roman" w:hAnsi="Times New Roman"/>
          <w:b/>
          <w:sz w:val="24"/>
        </w:rPr>
        <w:t>3.3.5 Database Schema (Turso libSQL)</w:t>
      </w:r>
    </w:p>
    <w:p>
      <w:pPr>
        <w:spacing w:before="80" w:after="120"/>
        <w:ind w:left="576"/>
      </w:pPr>
      <w:r>
        <w:rPr>
          <w:rFonts w:ascii="Times New Roman" w:hAnsi="Times New Roman"/>
          <w:sz w:val="22"/>
        </w:rPr>
        <w:t>+------------------+         +-------------------+         +------------------------+</w:t>
        <w:br/>
        <w:t>|    users_tbl     | 1     * |    nodes_tbl      | 1     * |  sensor_readings_tbl   |</w:t>
        <w:br/>
        <w:t>|------------------|---------|-------------------|---------|------------------------|</w:t>
        <w:br/>
        <w:t>| PK user_id (UUID)|         | PK node_id (UUID) |         | PK reading_id (UUID)   |</w:t>
        <w:br/>
        <w:t>|    full_name     |         | FK user_id        |         | FK node_id             |</w:t>
        <w:br/>
        <w:t>|    email (UQ)    |         |    node_name      |         |    air_temperature     |</w:t>
        <w:br/>
        <w:t>|    password_hash |         |    crop_type      |         |    air_humidity        |</w:t>
        <w:br/>
        <w:t>|    role          |         |    field_location |         |    soil_temperature    |</w:t>
        <w:br/>
        <w:t>|    created_at    |         |    battery_voltage|         |    soil_moisture       |</w:t>
        <w:br/>
        <w:t>+------------------+         |    last_seen_at   |         |    leaf_wetness_status |</w:t>
        <w:br/>
        <w:t xml:space="preserve">                             +-------------------+         |    recorded_at (UQ)    |</w:t>
        <w:br/>
        <w:t xml:space="preserve">                                       | 1                 |    synced_at           |</w:t>
        <w:br/>
        <w:t xml:space="preserve">                                       |                   +------------------------+</w:t>
        <w:br/>
        <w:t xml:space="preserve">                                       | *                             | 1</w:t>
        <w:br/>
        <w:t xml:space="preserve">                             +-------------------+                     | *</w:t>
        <w:br/>
        <w:t xml:space="preserve">                             |   disease_risk_   |         +------------------------+</w:t>
        <w:br/>
        <w:t xml:space="preserve">                             |     logs_tbl      |         |     alerts_tbl         |</w:t>
        <w:br/>
        <w:t xml:space="preserve">                             |-------------------|         |------------------------|</w:t>
        <w:br/>
        <w:t xml:space="preserve">                             | PK log_id (UUID)  |         | PK alert_id (UUID)     |</w:t>
        <w:br/>
        <w:t xml:space="preserve">                             | FK node_id        |         | FK node_id             |</w:t>
        <w:br/>
        <w:t xml:space="preserve">                             | FK reading_id     |         | FK reading_id          |</w:t>
        <w:br/>
        <w:t xml:space="preserve">                             |    late_blight_sv |         |    disease_target      |</w:t>
        <w:br/>
        <w:t xml:space="preserve">                             |    bact_wilt_idx  |         |    alert_level         |</w:t>
        <w:br/>
        <w:t xml:space="preserve">                             |    calculated_at  |         |    message             |</w:t>
        <w:br/>
        <w:t xml:space="preserve">                             +-------------------+         |    created_at          |</w:t>
        <w:br/>
        <w:t xml:space="preserve">                                                           +------------------------+</w:t>
      </w:r>
    </w:p>
    <w:p>
      <w:pPr>
        <w:keepNext/>
        <w:spacing w:before="280" w:after="120"/>
        <w:jc w:val="left"/>
      </w:pPr>
      <w:r>
        <w:rPr>
          <w:rFonts w:ascii="Times New Roman" w:hAnsi="Times New Roman"/>
          <w:b/>
          <w:sz w:val="26"/>
        </w:rPr>
        <w:t>3.4 Comprehensive Test and Quality Assurance Plan</w:t>
      </w:r>
    </w:p>
    <w:p>
      <w:pPr>
        <w:spacing w:before="0" w:after="120" w:line="360" w:lineRule="auto"/>
        <w:ind w:firstLine="720"/>
        <w:jc w:val="both"/>
      </w:pPr>
      <w:r>
        <w:rPr>
          <w:rFonts w:ascii="Times New Roman" w:hAnsi="Times New Roman"/>
          <w:b w:val="0"/>
          <w:color w:val="000000"/>
          <w:sz w:val="24"/>
        </w:rPr>
        <w:t>This section presents the quality objectives, quality assurance activities, testing strategies, test cases, acceptance criteria, and quality metrics to ensure that the system meets both functional and non-functional requirements.</w:t>
      </w:r>
    </w:p>
    <w:p>
      <w:pPr>
        <w:keepNext/>
        <w:spacing w:before="200" w:after="80"/>
        <w:jc w:val="left"/>
      </w:pPr>
      <w:r>
        <w:rPr>
          <w:rFonts w:ascii="Times New Roman" w:hAnsi="Times New Roman"/>
          <w:b/>
          <w:sz w:val="24"/>
        </w:rPr>
        <w:t>3.4.1 Quality Assurance Activities</w:t>
      </w:r>
    </w:p>
    <w:p>
      <w:pPr>
        <w:keepNext/>
        <w:spacing w:before="240" w:after="80"/>
        <w:jc w:val="left"/>
      </w:pPr>
      <w:r>
        <w:rPr>
          <w:rFonts w:ascii="Times New Roman" w:hAnsi="Times New Roman"/>
          <w:b/>
          <w:color w:val="000000"/>
          <w:sz w:val="24"/>
        </w:rPr>
        <w:t>Table 12: Quality Assurance Activities Schedule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EAEAEA"/>
            <w:tcMar>
              <w:top w:w="80" w:type="dxa"/>
              <w:bottom w:w="80" w:type="dxa"/>
              <w:left w:w="120" w:type="dxa"/>
              <w:right w:w="120" w:type="dxa"/>
            </w:tcMar>
          </w:tcPr>
          <w:p>
            <w:pPr>
              <w:spacing w:before="60" w:after="60" w:line="276" w:lineRule="auto"/>
              <w:jc w:val="left"/>
            </w:pPr>
            <w:r>
              <w:rPr>
                <w:rFonts w:ascii="Times New Roman" w:hAnsi="Times New Roman"/>
                <w:b/>
                <w:color w:val="000000"/>
              </w:rPr>
            </w:r>
            <w:r>
              <w:rPr>
                <w:rFonts w:ascii="Times New Roman" w:hAnsi="Times New Roman"/>
                <w:b/>
                <w:color w:val="000000"/>
                <w:sz w:val="23"/>
              </w:rPr>
              <w:t>Activity</w:t>
            </w:r>
          </w:p>
        </w:tc>
        <w:tc>
          <w:tcPr>
            <w:tcW w:type="dxa" w:w="3120"/>
            <w:shd w:fill="EAEAEA"/>
            <w:tcMar>
              <w:top w:w="80" w:type="dxa"/>
              <w:bottom w:w="80" w:type="dxa"/>
              <w:left w:w="120" w:type="dxa"/>
              <w:right w:w="120" w:type="dxa"/>
            </w:tcMar>
          </w:tcPr>
          <w:p>
            <w:pPr>
              <w:spacing w:before="60" w:after="60" w:line="276" w:lineRule="auto"/>
              <w:jc w:val="left"/>
            </w:pPr>
            <w:r>
              <w:rPr>
                <w:rFonts w:ascii="Times New Roman" w:hAnsi="Times New Roman"/>
                <w:b/>
                <w:color w:val="000000"/>
              </w:rPr>
            </w:r>
            <w:r>
              <w:rPr>
                <w:rFonts w:ascii="Times New Roman" w:hAnsi="Times New Roman"/>
                <w:b/>
                <w:color w:val="000000"/>
                <w:sz w:val="23"/>
              </w:rPr>
              <w:t>Description</w:t>
            </w:r>
          </w:p>
        </w:tc>
        <w:tc>
          <w:tcPr>
            <w:tcW w:type="dxa" w:w="3120"/>
            <w:shd w:fill="EAEAEA"/>
            <w:tcMar>
              <w:top w:w="80" w:type="dxa"/>
              <w:bottom w:w="80" w:type="dxa"/>
              <w:left w:w="120" w:type="dxa"/>
              <w:right w:w="120" w:type="dxa"/>
            </w:tcMar>
          </w:tcPr>
          <w:p>
            <w:pPr>
              <w:spacing w:before="60" w:after="60" w:line="276" w:lineRule="auto"/>
              <w:jc w:val="left"/>
            </w:pPr>
            <w:r>
              <w:rPr>
                <w:rFonts w:ascii="Times New Roman" w:hAnsi="Times New Roman"/>
                <w:b/>
                <w:color w:val="000000"/>
              </w:rPr>
            </w:r>
            <w:r>
              <w:rPr>
                <w:rFonts w:ascii="Times New Roman" w:hAnsi="Times New Roman"/>
                <w:b/>
                <w:color w:val="000000"/>
                <w:sz w:val="23"/>
              </w:rPr>
              <w:t>Target Schedule</w:t>
            </w:r>
          </w:p>
        </w:tc>
      </w:tr>
      <w:tr>
        <w:tc>
          <w:tcPr>
            <w:tcW w:type="dxa" w:w="312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color w:val="000000"/>
                <w:sz w:val="23"/>
              </w:rPr>
              <w:t>Hardware Review</w:t>
            </w:r>
          </w:p>
        </w:tc>
        <w:tc>
          <w:tcPr>
            <w:tcW w:type="dxa" w:w="312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3"/>
              </w:rPr>
              <w:t>Validate hardware components (ESP32, sensors, MicroSD, PCB shield, solar charger).</w:t>
            </w:r>
          </w:p>
        </w:tc>
        <w:tc>
          <w:tcPr>
            <w:tcW w:type="dxa" w:w="312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3"/>
              </w:rPr>
              <w:t>August 2026</w:t>
            </w:r>
          </w:p>
        </w:tc>
      </w:tr>
      <w:tr>
        <w:tc>
          <w:tcPr>
            <w:tcW w:type="dxa" w:w="312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color w:val="000000"/>
                <w:sz w:val="23"/>
              </w:rPr>
              <w:t>Sensor Calibration</w:t>
            </w:r>
          </w:p>
        </w:tc>
        <w:tc>
          <w:tcPr>
            <w:tcW w:type="dxa" w:w="312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3"/>
              </w:rPr>
              <w:t>Execute 2-point calibration and reference bath verification for all sensors.</w:t>
            </w:r>
          </w:p>
        </w:tc>
        <w:tc>
          <w:tcPr>
            <w:tcW w:type="dxa" w:w="312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3"/>
              </w:rPr>
              <w:t>August 2026</w:t>
            </w:r>
          </w:p>
        </w:tc>
      </w:tr>
      <w:tr>
        <w:tc>
          <w:tcPr>
            <w:tcW w:type="dxa" w:w="312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color w:val="000000"/>
                <w:sz w:val="23"/>
              </w:rPr>
              <w:t>Prototype Review</w:t>
            </w:r>
          </w:p>
        </w:tc>
        <w:tc>
          <w:tcPr>
            <w:tcW w:type="dxa" w:w="312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3"/>
              </w:rPr>
              <w:t>Review assembled edge node, wiring integrity, and IP66 enclosure packaging.</w:t>
            </w:r>
          </w:p>
        </w:tc>
        <w:tc>
          <w:tcPr>
            <w:tcW w:type="dxa" w:w="312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3"/>
              </w:rPr>
              <w:t>August – September 2026</w:t>
            </w:r>
          </w:p>
        </w:tc>
      </w:tr>
      <w:tr>
        <w:tc>
          <w:tcPr>
            <w:tcW w:type="dxa" w:w="312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color w:val="000000"/>
                <w:sz w:val="23"/>
              </w:rPr>
              <w:t>Integration Review</w:t>
            </w:r>
          </w:p>
        </w:tc>
        <w:tc>
          <w:tcPr>
            <w:tcW w:type="dxa" w:w="312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3"/>
              </w:rPr>
              <w:t>Validate hardware-to-cloud batch sync, duplicate rejection, and JSON packaging.</w:t>
            </w:r>
          </w:p>
        </w:tc>
        <w:tc>
          <w:tcPr>
            <w:tcW w:type="dxa" w:w="312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3"/>
              </w:rPr>
              <w:t>September – October 2026</w:t>
            </w:r>
          </w:p>
        </w:tc>
      </w:tr>
      <w:tr>
        <w:tc>
          <w:tcPr>
            <w:tcW w:type="dxa" w:w="312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color w:val="000000"/>
                <w:sz w:val="23"/>
              </w:rPr>
              <w:t>Field Testing Review</w:t>
            </w:r>
          </w:p>
        </w:tc>
        <w:tc>
          <w:tcPr>
            <w:tcW w:type="dxa" w:w="312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3"/>
              </w:rPr>
              <w:t>Verify operational readiness, battery autonomy, and Wi-Fi range under real crop conditions.</w:t>
            </w:r>
          </w:p>
        </w:tc>
        <w:tc>
          <w:tcPr>
            <w:tcW w:type="dxa" w:w="312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3"/>
              </w:rPr>
              <w:t>September – October 2026</w:t>
            </w:r>
          </w:p>
        </w:tc>
      </w:tr>
      <w:tr>
        <w:tc>
          <w:tcPr>
            <w:tcW w:type="dxa" w:w="312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color w:val="000000"/>
                <w:sz w:val="23"/>
              </w:rPr>
              <w:t>Software Review</w:t>
            </w:r>
          </w:p>
        </w:tc>
        <w:tc>
          <w:tcPr>
            <w:tcW w:type="dxa" w:w="312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3"/>
              </w:rPr>
              <w:t>Verify cloud platform backend API, disease risk engine, and React dashboard UI.</w:t>
            </w:r>
          </w:p>
        </w:tc>
        <w:tc>
          <w:tcPr>
            <w:tcW w:type="dxa" w:w="312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3"/>
              </w:rPr>
              <w:t>September – October 2026</w:t>
            </w:r>
          </w:p>
        </w:tc>
      </w:tr>
    </w:tbl>
    <w:p>
      <w:pPr>
        <w:spacing w:after="120"/>
      </w:pPr>
    </w:p>
    <w:p>
      <w:pPr>
        <w:keepNext/>
        <w:spacing w:before="200" w:after="80"/>
        <w:jc w:val="left"/>
      </w:pPr>
      <w:r>
        <w:rPr>
          <w:rFonts w:ascii="Times New Roman" w:hAnsi="Times New Roman"/>
          <w:b/>
          <w:sz w:val="24"/>
        </w:rPr>
        <w:t>3.4.2 Sensor Calibration Procedures</w:t>
      </w:r>
    </w:p>
    <w:p>
      <w:pPr>
        <w:pStyle w:val="ListNumber"/>
        <w:spacing w:after="60" w:line="360" w:lineRule="auto"/>
      </w:pPr>
      <w:r>
        <w:rPr>
          <w:rFonts w:ascii="Times New Roman" w:hAnsi="Times New Roman"/>
          <w:b/>
          <w:color w:val="000000"/>
          <w:sz w:val="24"/>
        </w:rPr>
        <w:t>Capacitive Soil Moisture Sensor v1.2</w:t>
      </w:r>
      <w:r>
        <w:rPr>
          <w:rFonts w:ascii="Times New Roman" w:hAnsi="Times New Roman"/>
          <w:b w:val="0"/>
          <w:color w:val="000000"/>
          <w:sz w:val="24"/>
        </w:rPr>
        <w:t>:</w:t>
      </w:r>
    </w:p>
    <w:p>
      <w:pPr>
        <w:pStyle w:val="ListBullet"/>
        <w:spacing w:after="60" w:line="360" w:lineRule="auto"/>
      </w:pPr>
      <w:r>
        <w:rPr>
          <w:rFonts w:ascii="Times New Roman" w:hAnsi="Times New Roman"/>
          <w:b/>
          <w:color w:val="000000"/>
          <w:sz w:val="24"/>
        </w:rPr>
        <w:t>Step 1 (Dry Baseline - 0% VWC)</w:t>
      </w:r>
      <w:r>
        <w:rPr>
          <w:rFonts w:ascii="Times New Roman" w:hAnsi="Times New Roman"/>
          <w:b w:val="0"/>
          <w:color w:val="000000"/>
          <w:sz w:val="24"/>
        </w:rPr>
        <w:t>: Measure probe suspended in dry ambient air at 25°C (ADC_dry ≈ 3200).</w:t>
      </w:r>
    </w:p>
    <w:p>
      <w:pPr>
        <w:pStyle w:val="ListBullet"/>
        <w:spacing w:after="60" w:line="360" w:lineRule="auto"/>
      </w:pPr>
      <w:r>
        <w:rPr>
          <w:rFonts w:ascii="Times New Roman" w:hAnsi="Times New Roman"/>
          <w:b/>
          <w:color w:val="000000"/>
          <w:sz w:val="24"/>
        </w:rPr>
        <w:t>Step 2 (Saturated Baseline - 100% VWC)</w:t>
      </w:r>
      <w:r>
        <w:rPr>
          <w:rFonts w:ascii="Times New Roman" w:hAnsi="Times New Roman"/>
          <w:b w:val="0"/>
          <w:color w:val="000000"/>
          <w:sz w:val="24"/>
        </w:rPr>
        <w:t>: Submerge probe in distilled water up to the safe immersion line (ADC_wet ≈ 1450).</w:t>
      </w:r>
    </w:p>
    <w:p>
      <w:pPr>
        <w:pStyle w:val="ListBullet"/>
        <w:spacing w:after="60" w:line="360" w:lineRule="auto"/>
      </w:pPr>
      <w:r>
        <w:rPr>
          <w:rFonts w:ascii="Times New Roman" w:hAnsi="Times New Roman"/>
          <w:b/>
          <w:color w:val="000000"/>
          <w:sz w:val="24"/>
        </w:rPr>
        <w:t>Conversion Formula</w:t>
      </w:r>
      <w:r>
        <w:rPr>
          <w:rFonts w:ascii="Times New Roman" w:hAnsi="Times New Roman"/>
          <w:b w:val="0"/>
          <w:color w:val="000000"/>
          <w:sz w:val="24"/>
        </w:rPr>
        <w:t>: Soil Moisture (%) = [ (ADC_dry - ADC_raw) / (ADC_dry - ADC_wet) ] × 100% (bounded between 0% and 100%).</w:t>
      </w:r>
    </w:p>
    <w:p>
      <w:pPr>
        <w:pStyle w:val="ListNumber"/>
        <w:spacing w:after="60" w:line="360" w:lineRule="auto"/>
      </w:pPr>
      <w:r>
        <w:rPr>
          <w:rFonts w:ascii="Times New Roman" w:hAnsi="Times New Roman"/>
          <w:b/>
          <w:color w:val="000000"/>
          <w:sz w:val="24"/>
        </w:rPr>
        <w:t>DS18B20 Digital Soil Temperature Probe</w:t>
      </w:r>
      <w:r>
        <w:rPr>
          <w:rFonts w:ascii="Times New Roman" w:hAnsi="Times New Roman"/>
          <w:b w:val="0"/>
          <w:color w:val="000000"/>
          <w:sz w:val="24"/>
        </w:rPr>
        <w:t>:</w:t>
      </w:r>
    </w:p>
    <w:p>
      <w:pPr>
        <w:pStyle w:val="ListBullet"/>
        <w:spacing w:after="60" w:line="360" w:lineRule="auto"/>
      </w:pPr>
      <w:r>
        <w:rPr>
          <w:rFonts w:ascii="Times New Roman" w:hAnsi="Times New Roman"/>
          <w:b w:val="0"/>
          <w:color w:val="000000"/>
          <w:sz w:val="24"/>
        </w:rPr>
        <w:t>Verify reading in an ice-water slurry (0.0°C ±0.1°C) and warm reference bath against a calibrated thermometer (±0.5°C tolerance).</w:t>
      </w:r>
    </w:p>
    <w:p>
      <w:pPr>
        <w:pStyle w:val="ListNumber"/>
        <w:spacing w:after="60" w:line="360" w:lineRule="auto"/>
      </w:pPr>
      <w:r>
        <w:rPr>
          <w:rFonts w:ascii="Times New Roman" w:hAnsi="Times New Roman"/>
          <w:b/>
          <w:color w:val="000000"/>
          <w:sz w:val="24"/>
        </w:rPr>
        <w:t>DHT22 Ambient Humidity Sensor</w:t>
      </w:r>
      <w:r>
        <w:rPr>
          <w:rFonts w:ascii="Times New Roman" w:hAnsi="Times New Roman"/>
          <w:b w:val="0"/>
          <w:color w:val="000000"/>
          <w:sz w:val="24"/>
        </w:rPr>
        <w:t>:</w:t>
      </w:r>
    </w:p>
    <w:p>
      <w:pPr>
        <w:pStyle w:val="ListBullet"/>
        <w:spacing w:after="60" w:line="360" w:lineRule="auto"/>
      </w:pPr>
      <w:r>
        <w:rPr>
          <w:rFonts w:ascii="Times New Roman" w:hAnsi="Times New Roman"/>
          <w:b w:val="0"/>
          <w:color w:val="000000"/>
          <w:sz w:val="24"/>
        </w:rPr>
        <w:t>Enclose sensor in an airtight chamber over a saturated Sodium Chloride (NaCl) solution slurry (75.3% equilibrium RH at 25°C) to record calibration offset.</w:t>
      </w:r>
    </w:p>
    <w:p>
      <w:pPr>
        <w:pStyle w:val="ListNumber"/>
        <w:spacing w:after="60" w:line="360" w:lineRule="auto"/>
      </w:pPr>
      <w:r>
        <w:rPr>
          <w:rFonts w:ascii="Times New Roman" w:hAnsi="Times New Roman"/>
          <w:b/>
          <w:color w:val="000000"/>
          <w:sz w:val="24"/>
        </w:rPr>
        <w:t>RS485 Leaf Wetness Sensor</w:t>
      </w:r>
      <w:r>
        <w:rPr>
          <w:rFonts w:ascii="Times New Roman" w:hAnsi="Times New Roman"/>
          <w:b w:val="0"/>
          <w:color w:val="000000"/>
          <w:sz w:val="24"/>
        </w:rPr>
        <w:t>:</w:t>
      </w:r>
    </w:p>
    <w:p>
      <w:pPr>
        <w:pStyle w:val="ListBullet"/>
        <w:spacing w:after="60" w:line="360" w:lineRule="auto"/>
      </w:pPr>
      <w:r>
        <w:rPr>
          <w:rFonts w:ascii="Times New Roman" w:hAnsi="Times New Roman"/>
          <w:b w:val="0"/>
          <w:color w:val="000000"/>
          <w:sz w:val="24"/>
        </w:rPr>
        <w:t>Confirm zero baseline output in dry air and verify wet status trigger under aerosol water misting.</w:t>
      </w:r>
    </w:p>
    <w:p>
      <w:pPr>
        <w:keepNext/>
        <w:spacing w:before="200" w:after="80"/>
        <w:jc w:val="left"/>
      </w:pPr>
      <w:r>
        <w:rPr>
          <w:rFonts w:ascii="Times New Roman" w:hAnsi="Times New Roman"/>
          <w:b/>
          <w:sz w:val="24"/>
        </w:rPr>
        <w:t>3.4.3 Test Cases</w:t>
      </w:r>
    </w:p>
    <w:p>
      <w:pPr>
        <w:keepNext/>
        <w:spacing w:before="160" w:after="60"/>
      </w:pPr>
      <w:r>
        <w:rPr>
          <w:rFonts w:ascii="Times New Roman" w:hAnsi="Times New Roman"/>
          <w:b/>
          <w:sz w:val="24"/>
        </w:rPr>
        <w:t>Table 14: Component-Level Unit Test Cases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EAEAEA"/>
            <w:tcMar>
              <w:top w:w="80" w:type="dxa"/>
              <w:bottom w:w="80" w:type="dxa"/>
              <w:left w:w="120" w:type="dxa"/>
              <w:right w:w="120" w:type="dxa"/>
            </w:tcMar>
          </w:tcPr>
          <w:p>
            <w:pPr>
              <w:spacing w:before="60" w:after="60" w:line="276" w:lineRule="auto"/>
              <w:jc w:val="left"/>
            </w:pPr>
            <w:r>
              <w:rPr>
                <w:rFonts w:ascii="Times New Roman" w:hAnsi="Times New Roman"/>
                <w:b/>
                <w:color w:val="000000"/>
              </w:rPr>
            </w:r>
            <w:r>
              <w:rPr>
                <w:rFonts w:ascii="Times New Roman" w:hAnsi="Times New Roman"/>
                <w:b/>
                <w:color w:val="000000"/>
                <w:sz w:val="21"/>
              </w:rPr>
              <w:t>Test Case ID</w:t>
            </w:r>
          </w:p>
        </w:tc>
        <w:tc>
          <w:tcPr>
            <w:tcW w:type="dxa" w:w="1872"/>
            <w:shd w:fill="EAEAEA"/>
            <w:tcMar>
              <w:top w:w="80" w:type="dxa"/>
              <w:bottom w:w="80" w:type="dxa"/>
              <w:left w:w="120" w:type="dxa"/>
              <w:right w:w="120" w:type="dxa"/>
            </w:tcMar>
          </w:tcPr>
          <w:p>
            <w:pPr>
              <w:spacing w:before="60" w:after="60" w:line="276" w:lineRule="auto"/>
              <w:jc w:val="left"/>
            </w:pPr>
            <w:r>
              <w:rPr>
                <w:rFonts w:ascii="Times New Roman" w:hAnsi="Times New Roman"/>
                <w:b/>
                <w:color w:val="000000"/>
              </w:rPr>
            </w:r>
            <w:r>
              <w:rPr>
                <w:rFonts w:ascii="Times New Roman" w:hAnsi="Times New Roman"/>
                <w:b/>
                <w:color w:val="000000"/>
                <w:sz w:val="21"/>
              </w:rPr>
              <w:t>Target Component</w:t>
            </w:r>
          </w:p>
        </w:tc>
        <w:tc>
          <w:tcPr>
            <w:tcW w:type="dxa" w:w="1872"/>
            <w:shd w:fill="EAEAEA"/>
            <w:tcMar>
              <w:top w:w="80" w:type="dxa"/>
              <w:bottom w:w="80" w:type="dxa"/>
              <w:left w:w="120" w:type="dxa"/>
              <w:right w:w="120" w:type="dxa"/>
            </w:tcMar>
          </w:tcPr>
          <w:p>
            <w:pPr>
              <w:spacing w:before="60" w:after="60" w:line="276" w:lineRule="auto"/>
              <w:jc w:val="left"/>
            </w:pPr>
            <w:r>
              <w:rPr>
                <w:rFonts w:ascii="Times New Roman" w:hAnsi="Times New Roman"/>
                <w:b/>
                <w:color w:val="000000"/>
              </w:rPr>
            </w:r>
            <w:r>
              <w:rPr>
                <w:rFonts w:ascii="Times New Roman" w:hAnsi="Times New Roman"/>
                <w:b/>
                <w:color w:val="000000"/>
                <w:sz w:val="21"/>
              </w:rPr>
              <w:t>Test Description</w:t>
            </w:r>
          </w:p>
        </w:tc>
        <w:tc>
          <w:tcPr>
            <w:tcW w:type="dxa" w:w="1872"/>
            <w:shd w:fill="EAEAEA"/>
            <w:tcMar>
              <w:top w:w="80" w:type="dxa"/>
              <w:bottom w:w="80" w:type="dxa"/>
              <w:left w:w="120" w:type="dxa"/>
              <w:right w:w="120" w:type="dxa"/>
            </w:tcMar>
          </w:tcPr>
          <w:p>
            <w:pPr>
              <w:spacing w:before="60" w:after="60" w:line="276" w:lineRule="auto"/>
              <w:jc w:val="left"/>
            </w:pPr>
            <w:r>
              <w:rPr>
                <w:rFonts w:ascii="Times New Roman" w:hAnsi="Times New Roman"/>
                <w:b/>
                <w:color w:val="000000"/>
              </w:rPr>
            </w:r>
            <w:r>
              <w:rPr>
                <w:rFonts w:ascii="Times New Roman" w:hAnsi="Times New Roman"/>
                <w:b/>
                <w:color w:val="000000"/>
                <w:sz w:val="21"/>
              </w:rPr>
              <w:t>Expected Result</w:t>
            </w:r>
          </w:p>
        </w:tc>
        <w:tc>
          <w:tcPr>
            <w:tcW w:type="dxa" w:w="1872"/>
            <w:shd w:fill="EAEAEA"/>
            <w:tcMar>
              <w:top w:w="80" w:type="dxa"/>
              <w:bottom w:w="80" w:type="dxa"/>
              <w:left w:w="120" w:type="dxa"/>
              <w:right w:w="120" w:type="dxa"/>
            </w:tcMar>
          </w:tcPr>
          <w:p>
            <w:pPr>
              <w:spacing w:before="60" w:after="60" w:line="276" w:lineRule="auto"/>
              <w:jc w:val="left"/>
            </w:pPr>
            <w:r>
              <w:rPr>
                <w:rFonts w:ascii="Times New Roman" w:hAnsi="Times New Roman"/>
                <w:b/>
                <w:color w:val="000000"/>
              </w:rPr>
            </w:r>
            <w:r>
              <w:rPr>
                <w:rFonts w:ascii="Times New Roman" w:hAnsi="Times New Roman"/>
                <w:b/>
                <w:color w:val="000000"/>
                <w:sz w:val="21"/>
              </w:rPr>
              <w:t>Requirement Satisfied</w:t>
            </w:r>
          </w:p>
        </w:tc>
      </w:tr>
      <w:tr>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color w:val="000000"/>
                <w:sz w:val="21"/>
              </w:rPr>
              <w:t>TC-HW-01</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DHT22 Sensor</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Verify ambient temperature and humidity measurement accuracy inside Stevenson screen.</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Captures temperature (±0.5°C) and humidity (±3% RH) accurately.</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FR-2, NFR-1</w:t>
            </w:r>
          </w:p>
        </w:tc>
      </w:tr>
      <w:tr>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color w:val="000000"/>
                <w:sz w:val="21"/>
              </w:rPr>
              <w:t>TC-HW-02</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DS18B20 Probe</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Test underground root-zone temperature collection at 10cm depth.</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Captures soil temperature correctly over 1-Wire bus without data dropouts.</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FR-2, NFR-1</w:t>
            </w:r>
          </w:p>
        </w:tc>
      </w:tr>
      <w:tr>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color w:val="000000"/>
                <w:sz w:val="21"/>
              </w:rPr>
              <w:t>TC-HW-03</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Capacitive Moisture</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Verify volumetric soil moisture response across dry, field capacity, and flooded soils.</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Monotonic linear voltage output from 0% to 100% moisture.</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FR-2, NFR-1</w:t>
            </w:r>
          </w:p>
        </w:tc>
      </w:tr>
      <w:tr>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color w:val="000000"/>
                <w:sz w:val="21"/>
              </w:rPr>
              <w:t>TC-HW-04</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Leaf Wetness Sensor</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Verify RS485 Modbus-RTU query and response over MAX485 transceiver.</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Accurately registers wetness state and surface moisture percentage.</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FR-2, NFR-6</w:t>
            </w:r>
          </w:p>
        </w:tc>
      </w:tr>
      <w:tr>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color w:val="000000"/>
                <w:sz w:val="21"/>
              </w:rPr>
              <w:t>TC-HW-05</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MicroSD Module</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Verify SPI-linked offline data logging when Wi-Fi connection is unavailable.</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Telemetry records log sequentially to MicroSD card during network outages.</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FR-3, NFR-1</w:t>
            </w:r>
          </w:p>
        </w:tc>
      </w:tr>
      <w:tr>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color w:val="000000"/>
                <w:sz w:val="21"/>
              </w:rPr>
              <w:t>TC-HW-06</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Solar MPPT Charger</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Verify LiFePO₄ charging current regulation and float voltage cutoff.</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Regulates solar charging up to 1.1A; cuts off at 14.4V bulk limit.</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NFR-1, NFR-5</w:t>
            </w:r>
          </w:p>
        </w:tc>
      </w:tr>
      <w:tr>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color w:val="000000"/>
                <w:sz w:val="21"/>
              </w:rPr>
              <w:t>TC-HW-07</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Step-Down Bucks</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Verify 5.0V and 3.3V DC rail stability across battery discharge range (10V–14.4V).</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5V rail maintains 5.0V ±0.1V; 3.3V rail maintains 3.3V ±0.05V.</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NFR-1, NFR-5</w:t>
            </w:r>
          </w:p>
        </w:tc>
      </w:tr>
    </w:tbl>
    <w:p>
      <w:pPr>
        <w:spacing w:after="120"/>
      </w:pPr>
    </w:p>
    <w:p>
      <w:pPr>
        <w:keepNext/>
        <w:spacing w:before="160" w:after="60"/>
      </w:pPr>
      <w:r>
        <w:rPr>
          <w:rFonts w:ascii="Times New Roman" w:hAnsi="Times New Roman"/>
          <w:b/>
          <w:sz w:val="24"/>
        </w:rPr>
        <w:t>Table 15: System Integration &amp; Software Test Cases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EAEAEA"/>
            <w:tcMar>
              <w:top w:w="80" w:type="dxa"/>
              <w:bottom w:w="80" w:type="dxa"/>
              <w:left w:w="120" w:type="dxa"/>
              <w:right w:w="120" w:type="dxa"/>
            </w:tcMar>
          </w:tcPr>
          <w:p>
            <w:pPr>
              <w:spacing w:before="60" w:after="60" w:line="276" w:lineRule="auto"/>
              <w:jc w:val="left"/>
            </w:pPr>
            <w:r>
              <w:rPr>
                <w:rFonts w:ascii="Times New Roman" w:hAnsi="Times New Roman"/>
                <w:b/>
                <w:color w:val="000000"/>
              </w:rPr>
            </w:r>
            <w:r>
              <w:rPr>
                <w:rFonts w:ascii="Times New Roman" w:hAnsi="Times New Roman"/>
                <w:b/>
                <w:color w:val="000000"/>
                <w:sz w:val="21"/>
              </w:rPr>
              <w:t>Test Case ID</w:t>
            </w:r>
          </w:p>
        </w:tc>
        <w:tc>
          <w:tcPr>
            <w:tcW w:type="dxa" w:w="1872"/>
            <w:shd w:fill="EAEAEA"/>
            <w:tcMar>
              <w:top w:w="80" w:type="dxa"/>
              <w:bottom w:w="80" w:type="dxa"/>
              <w:left w:w="120" w:type="dxa"/>
              <w:right w:w="120" w:type="dxa"/>
            </w:tcMar>
          </w:tcPr>
          <w:p>
            <w:pPr>
              <w:spacing w:before="60" w:after="60" w:line="276" w:lineRule="auto"/>
              <w:jc w:val="left"/>
            </w:pPr>
            <w:r>
              <w:rPr>
                <w:rFonts w:ascii="Times New Roman" w:hAnsi="Times New Roman"/>
                <w:b/>
                <w:color w:val="000000"/>
              </w:rPr>
            </w:r>
            <w:r>
              <w:rPr>
                <w:rFonts w:ascii="Times New Roman" w:hAnsi="Times New Roman"/>
                <w:b/>
                <w:color w:val="000000"/>
                <w:sz w:val="21"/>
              </w:rPr>
              <w:t>Target Module</w:t>
            </w:r>
          </w:p>
        </w:tc>
        <w:tc>
          <w:tcPr>
            <w:tcW w:type="dxa" w:w="1872"/>
            <w:shd w:fill="EAEAEA"/>
            <w:tcMar>
              <w:top w:w="80" w:type="dxa"/>
              <w:bottom w:w="80" w:type="dxa"/>
              <w:left w:w="120" w:type="dxa"/>
              <w:right w:w="120" w:type="dxa"/>
            </w:tcMar>
          </w:tcPr>
          <w:p>
            <w:pPr>
              <w:spacing w:before="60" w:after="60" w:line="276" w:lineRule="auto"/>
              <w:jc w:val="left"/>
            </w:pPr>
            <w:r>
              <w:rPr>
                <w:rFonts w:ascii="Times New Roman" w:hAnsi="Times New Roman"/>
                <w:b/>
                <w:color w:val="000000"/>
              </w:rPr>
            </w:r>
            <w:r>
              <w:rPr>
                <w:rFonts w:ascii="Times New Roman" w:hAnsi="Times New Roman"/>
                <w:b/>
                <w:color w:val="000000"/>
                <w:sz w:val="21"/>
              </w:rPr>
              <w:t>Test Description</w:t>
            </w:r>
          </w:p>
        </w:tc>
        <w:tc>
          <w:tcPr>
            <w:tcW w:type="dxa" w:w="1872"/>
            <w:shd w:fill="EAEAEA"/>
            <w:tcMar>
              <w:top w:w="80" w:type="dxa"/>
              <w:bottom w:w="80" w:type="dxa"/>
              <w:left w:w="120" w:type="dxa"/>
              <w:right w:w="120" w:type="dxa"/>
            </w:tcMar>
          </w:tcPr>
          <w:p>
            <w:pPr>
              <w:spacing w:before="60" w:after="60" w:line="276" w:lineRule="auto"/>
              <w:jc w:val="left"/>
            </w:pPr>
            <w:r>
              <w:rPr>
                <w:rFonts w:ascii="Times New Roman" w:hAnsi="Times New Roman"/>
                <w:b/>
                <w:color w:val="000000"/>
              </w:rPr>
            </w:r>
            <w:r>
              <w:rPr>
                <w:rFonts w:ascii="Times New Roman" w:hAnsi="Times New Roman"/>
                <w:b/>
                <w:color w:val="000000"/>
                <w:sz w:val="21"/>
              </w:rPr>
              <w:t>Expected Result</w:t>
            </w:r>
          </w:p>
        </w:tc>
        <w:tc>
          <w:tcPr>
            <w:tcW w:type="dxa" w:w="1872"/>
            <w:shd w:fill="EAEAEA"/>
            <w:tcMar>
              <w:top w:w="80" w:type="dxa"/>
              <w:bottom w:w="80" w:type="dxa"/>
              <w:left w:w="120" w:type="dxa"/>
              <w:right w:w="120" w:type="dxa"/>
            </w:tcMar>
          </w:tcPr>
          <w:p>
            <w:pPr>
              <w:spacing w:before="60" w:after="60" w:line="276" w:lineRule="auto"/>
              <w:jc w:val="left"/>
            </w:pPr>
            <w:r>
              <w:rPr>
                <w:rFonts w:ascii="Times New Roman" w:hAnsi="Times New Roman"/>
                <w:b/>
                <w:color w:val="000000"/>
              </w:rPr>
            </w:r>
            <w:r>
              <w:rPr>
                <w:rFonts w:ascii="Times New Roman" w:hAnsi="Times New Roman"/>
                <w:b/>
                <w:color w:val="000000"/>
                <w:sz w:val="21"/>
              </w:rPr>
              <w:t>Requirement Satisfied</w:t>
            </w:r>
          </w:p>
        </w:tc>
      </w:tr>
      <w:tr>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color w:val="000000"/>
                <w:sz w:val="21"/>
              </w:rPr>
              <w:t>TC-SW-01</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User Authentication</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Verify user login and role-based route protection.</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Authorized users successfully access dashboard; unauthorized requests blocked.</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FR-1, NFR-4</w:t>
            </w:r>
          </w:p>
        </w:tc>
      </w:tr>
      <w:tr>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color w:val="000000"/>
                <w:sz w:val="21"/>
              </w:rPr>
              <w:t>TC-SW-02</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Sensor Monitoring</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Verify real-time sensor data formatting and telemetry ingestion.</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Sensor values correctly collected, processed, and displayed on live dashboard.</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FR-2, FR-6</w:t>
            </w:r>
          </w:p>
        </w:tc>
      </w:tr>
      <w:tr>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color w:val="000000"/>
                <w:sz w:val="21"/>
              </w:rPr>
              <w:t>TC-SW-03</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Disease-Risk Engine</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Verify rule-based disease-risk calculation for Late Blight and Bacterial Wilt.</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Correct disease-risk level (Low, Moderate, High) computed from thresholds.</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FR-5, FR-7</w:t>
            </w:r>
          </w:p>
        </w:tc>
      </w:tr>
      <w:tr>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color w:val="000000"/>
                <w:sz w:val="21"/>
              </w:rPr>
              <w:t>TC-SW-04</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Data Synchronization</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Verify cloud synchronization and offline deduplication after network outage.</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Data synchronized with cloud upon reconnection; zero duplicate records stored.</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FR-4, NFR-1</w:t>
            </w:r>
          </w:p>
        </w:tc>
      </w:tr>
      <w:tr>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color w:val="000000"/>
                <w:sz w:val="21"/>
              </w:rPr>
              <w:t>TC-SW-05</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Notification Module</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Verify early warning visual alert generation.</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Alert is generated and displayed whenever Moderate or High risk is detected.</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FR-7</w:t>
            </w:r>
          </w:p>
        </w:tc>
      </w:tr>
      <w:tr>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color w:val="000000"/>
                <w:sz w:val="21"/>
              </w:rPr>
              <w:t>TC-SW-06</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Dashboard Visualization</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Verify dynamic time-series and tabular rendering.</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Real-time and historical environmental data are correctly plotted.</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FR-8, NFR-2</w:t>
            </w:r>
          </w:p>
        </w:tc>
      </w:tr>
    </w:tbl>
    <w:p>
      <w:pPr>
        <w:spacing w:after="120"/>
      </w:pPr>
    </w:p>
    <w:p>
      <w:pPr>
        <w:keepNext/>
        <w:spacing w:before="160" w:after="60"/>
      </w:pPr>
      <w:r>
        <w:rPr>
          <w:rFonts w:ascii="Times New Roman" w:hAnsi="Times New Roman"/>
          <w:b/>
          <w:sz w:val="24"/>
        </w:rPr>
        <w:t>Table 16: Reliability, Range, and Autonomy Stress Test Cases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EAEAEA"/>
            <w:tcMar>
              <w:top w:w="80" w:type="dxa"/>
              <w:bottom w:w="80" w:type="dxa"/>
              <w:left w:w="120" w:type="dxa"/>
              <w:right w:w="120" w:type="dxa"/>
            </w:tcMar>
          </w:tcPr>
          <w:p>
            <w:pPr>
              <w:spacing w:before="60" w:after="60" w:line="276" w:lineRule="auto"/>
              <w:jc w:val="left"/>
            </w:pPr>
            <w:r>
              <w:rPr>
                <w:rFonts w:ascii="Times New Roman" w:hAnsi="Times New Roman"/>
                <w:b/>
                <w:color w:val="000000"/>
              </w:rPr>
            </w:r>
            <w:r>
              <w:rPr>
                <w:rFonts w:ascii="Times New Roman" w:hAnsi="Times New Roman"/>
                <w:b/>
                <w:color w:val="000000"/>
                <w:sz w:val="21"/>
              </w:rPr>
              <w:t>Test Case ID</w:t>
            </w:r>
          </w:p>
        </w:tc>
        <w:tc>
          <w:tcPr>
            <w:tcW w:type="dxa" w:w="1872"/>
            <w:shd w:fill="EAEAEA"/>
            <w:tcMar>
              <w:top w:w="80" w:type="dxa"/>
              <w:bottom w:w="80" w:type="dxa"/>
              <w:left w:w="120" w:type="dxa"/>
              <w:right w:w="120" w:type="dxa"/>
            </w:tcMar>
          </w:tcPr>
          <w:p>
            <w:pPr>
              <w:spacing w:before="60" w:after="60" w:line="276" w:lineRule="auto"/>
              <w:jc w:val="left"/>
            </w:pPr>
            <w:r>
              <w:rPr>
                <w:rFonts w:ascii="Times New Roman" w:hAnsi="Times New Roman"/>
                <w:b/>
                <w:color w:val="000000"/>
              </w:rPr>
            </w:r>
            <w:r>
              <w:rPr>
                <w:rFonts w:ascii="Times New Roman" w:hAnsi="Times New Roman"/>
                <w:b/>
                <w:color w:val="000000"/>
                <w:sz w:val="21"/>
              </w:rPr>
              <w:t>Category</w:t>
            </w:r>
          </w:p>
        </w:tc>
        <w:tc>
          <w:tcPr>
            <w:tcW w:type="dxa" w:w="1872"/>
            <w:shd w:fill="EAEAEA"/>
            <w:tcMar>
              <w:top w:w="80" w:type="dxa"/>
              <w:bottom w:w="80" w:type="dxa"/>
              <w:left w:w="120" w:type="dxa"/>
              <w:right w:w="120" w:type="dxa"/>
            </w:tcMar>
          </w:tcPr>
          <w:p>
            <w:pPr>
              <w:spacing w:before="60" w:after="60" w:line="276" w:lineRule="auto"/>
              <w:jc w:val="left"/>
            </w:pPr>
            <w:r>
              <w:rPr>
                <w:rFonts w:ascii="Times New Roman" w:hAnsi="Times New Roman"/>
                <w:b/>
                <w:color w:val="000000"/>
              </w:rPr>
            </w:r>
            <w:r>
              <w:rPr>
                <w:rFonts w:ascii="Times New Roman" w:hAnsi="Times New Roman"/>
                <w:b/>
                <w:color w:val="000000"/>
                <w:sz w:val="21"/>
              </w:rPr>
              <w:t>Test Description &amp; Methodology</w:t>
            </w:r>
          </w:p>
        </w:tc>
        <w:tc>
          <w:tcPr>
            <w:tcW w:type="dxa" w:w="1872"/>
            <w:shd w:fill="EAEAEA"/>
            <w:tcMar>
              <w:top w:w="80" w:type="dxa"/>
              <w:bottom w:w="80" w:type="dxa"/>
              <w:left w:w="120" w:type="dxa"/>
              <w:right w:w="120" w:type="dxa"/>
            </w:tcMar>
          </w:tcPr>
          <w:p>
            <w:pPr>
              <w:spacing w:before="60" w:after="60" w:line="276" w:lineRule="auto"/>
              <w:jc w:val="left"/>
            </w:pPr>
            <w:r>
              <w:rPr>
                <w:rFonts w:ascii="Times New Roman" w:hAnsi="Times New Roman"/>
                <w:b/>
                <w:color w:val="000000"/>
              </w:rPr>
            </w:r>
            <w:r>
              <w:rPr>
                <w:rFonts w:ascii="Times New Roman" w:hAnsi="Times New Roman"/>
                <w:b/>
                <w:color w:val="000000"/>
                <w:sz w:val="21"/>
              </w:rPr>
              <w:t>Expected Result</w:t>
            </w:r>
          </w:p>
        </w:tc>
        <w:tc>
          <w:tcPr>
            <w:tcW w:type="dxa" w:w="1872"/>
            <w:shd w:fill="EAEAEA"/>
            <w:tcMar>
              <w:top w:w="80" w:type="dxa"/>
              <w:bottom w:w="80" w:type="dxa"/>
              <w:left w:w="120" w:type="dxa"/>
              <w:right w:w="120" w:type="dxa"/>
            </w:tcMar>
          </w:tcPr>
          <w:p>
            <w:pPr>
              <w:spacing w:before="60" w:after="60" w:line="276" w:lineRule="auto"/>
              <w:jc w:val="left"/>
            </w:pPr>
            <w:r>
              <w:rPr>
                <w:rFonts w:ascii="Times New Roman" w:hAnsi="Times New Roman"/>
                <w:b/>
                <w:color w:val="000000"/>
              </w:rPr>
            </w:r>
            <w:r>
              <w:rPr>
                <w:rFonts w:ascii="Times New Roman" w:hAnsi="Times New Roman"/>
                <w:b/>
                <w:color w:val="000000"/>
                <w:sz w:val="21"/>
              </w:rPr>
              <w:t>Requirement Satisfied</w:t>
            </w:r>
          </w:p>
        </w:tc>
      </w:tr>
      <w:tr>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color w:val="000000"/>
                <w:sz w:val="21"/>
              </w:rPr>
              <w:t>TC-REL-01</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7-Day Field Uptime</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Deploy prototype in open Solanaceae plot for 7 consecutive days (672 cycles).</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Node operates continuously with ≥ 99.0% data completion rate in database.</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NFR-1, NFR-5</w:t>
            </w:r>
          </w:p>
        </w:tc>
      </w:tr>
      <w:tr>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color w:val="000000"/>
                <w:sz w:val="21"/>
              </w:rPr>
              <w:t>TC-REL-02</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Wi-Fi RSSI Range Decay</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Measure ESP32 Wi-Fi RSSI (dBm) and Packet Delivery Ratio at 5m, 10m, 20m, 30m, 50m.</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RSSI &gt; -80 dBm and packet delivery ≥ 95% at distances ≤ 35 m Line-of-Sight.</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NFR-6</w:t>
            </w:r>
          </w:p>
        </w:tc>
      </w:tr>
      <w:tr>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color w:val="000000"/>
                <w:sz w:val="21"/>
              </w:rPr>
              <w:t>TC-REL-03</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Battery Autonomy Stress</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Disconnect solar PV panel; operate node continuously on fully charged 12.8V battery.</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System maintains continuous 15-minute polling for &gt; 72 hours without shutdown.</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NFR-5</w:t>
            </w:r>
          </w:p>
        </w:tc>
      </w:tr>
      <w:tr>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color w:val="000000"/>
                <w:sz w:val="21"/>
              </w:rPr>
              <w:t>TC-REL-04</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Watchdog Hang Recovery</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Force firmware into an intentional blocking infinite loop.</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Hardware Watchdog Timer resets ESP32 within 5.0s; normal logging resumes.</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NFR-1</w:t>
            </w:r>
          </w:p>
        </w:tc>
      </w:tr>
      <w:tr>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color w:val="000000"/>
                <w:sz w:val="21"/>
              </w:rPr>
              <w:t>TC-REL-05</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Weatherproof Sealing</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Subject IP66 enclosure to heavy water spray simulating tropical rain.</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Zero water ingress or condensation inside electronics compartment.</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NFR-5</w:t>
            </w:r>
          </w:p>
        </w:tc>
      </w:tr>
      <w:tr>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color w:val="000000"/>
                <w:sz w:val="21"/>
              </w:rPr>
              <w:t>TC-UAT-01</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Stakeholder Usability</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Conduct System Usability Scale (SUS) evaluation with 10 target farmers/technicians.</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Achieves a mean SUS score ≥ 80.0 (Grade A usability).</w:t>
            </w:r>
          </w:p>
        </w:tc>
        <w:tc>
          <w:tcPr>
            <w:tcW w:type="dxa" w:w="1872"/>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1"/>
              </w:rPr>
              <w:t>NFR-3</w:t>
            </w:r>
          </w:p>
        </w:tc>
      </w:tr>
    </w:tbl>
    <w:p>
      <w:pPr>
        <w:spacing w:after="120"/>
      </w:pPr>
    </w:p>
    <w:p>
      <w:pPr>
        <w:keepNext/>
        <w:spacing w:before="200" w:after="80"/>
        <w:jc w:val="left"/>
      </w:pPr>
      <w:r>
        <w:rPr>
          <w:rFonts w:ascii="Times New Roman" w:hAnsi="Times New Roman"/>
          <w:b/>
          <w:sz w:val="24"/>
        </w:rPr>
        <w:t>3.4.4 Acceptance Criteria &amp; Quality Metrics</w:t>
      </w:r>
    </w:p>
    <w:p>
      <w:pPr>
        <w:keepNext/>
        <w:spacing w:before="240" w:after="80"/>
        <w:jc w:val="left"/>
      </w:pPr>
      <w:r>
        <w:rPr>
          <w:rFonts w:ascii="Times New Roman" w:hAnsi="Times New Roman"/>
          <w:b/>
          <w:color w:val="000000"/>
          <w:sz w:val="24"/>
        </w:rPr>
        <w:t>Table 18: Quality Metrics Table (with Literature Benchmarks)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EAEAEA"/>
            <w:tcMar>
              <w:top w:w="80" w:type="dxa"/>
              <w:bottom w:w="80" w:type="dxa"/>
              <w:left w:w="120" w:type="dxa"/>
              <w:right w:w="120" w:type="dxa"/>
            </w:tcMar>
          </w:tcPr>
          <w:p>
            <w:pPr>
              <w:spacing w:before="60" w:after="60" w:line="276" w:lineRule="auto"/>
              <w:jc w:val="left"/>
            </w:pPr>
            <w:r>
              <w:rPr>
                <w:rFonts w:ascii="Times New Roman" w:hAnsi="Times New Roman"/>
                <w:b/>
                <w:color w:val="000000"/>
              </w:rPr>
            </w:r>
            <w:r>
              <w:rPr>
                <w:rFonts w:ascii="Times New Roman" w:hAnsi="Times New Roman"/>
                <w:b/>
                <w:color w:val="000000"/>
                <w:sz w:val="23"/>
              </w:rPr>
              <w:t>Metric Category</w:t>
            </w:r>
          </w:p>
        </w:tc>
        <w:tc>
          <w:tcPr>
            <w:tcW w:type="dxa" w:w="3120"/>
            <w:shd w:fill="EAEAEA"/>
            <w:tcMar>
              <w:top w:w="80" w:type="dxa"/>
              <w:bottom w:w="80" w:type="dxa"/>
              <w:left w:w="120" w:type="dxa"/>
              <w:right w:w="120" w:type="dxa"/>
            </w:tcMar>
          </w:tcPr>
          <w:p>
            <w:pPr>
              <w:spacing w:before="60" w:after="60" w:line="276" w:lineRule="auto"/>
              <w:jc w:val="left"/>
            </w:pPr>
            <w:r>
              <w:rPr>
                <w:rFonts w:ascii="Times New Roman" w:hAnsi="Times New Roman"/>
                <w:b/>
                <w:color w:val="000000"/>
              </w:rPr>
            </w:r>
            <w:r>
              <w:rPr>
                <w:rFonts w:ascii="Times New Roman" w:hAnsi="Times New Roman"/>
                <w:b/>
                <w:color w:val="000000"/>
                <w:sz w:val="23"/>
              </w:rPr>
              <w:t>Target Performance</w:t>
            </w:r>
          </w:p>
        </w:tc>
        <w:tc>
          <w:tcPr>
            <w:tcW w:type="dxa" w:w="3120"/>
            <w:shd w:fill="EAEAEA"/>
            <w:tcMar>
              <w:top w:w="80" w:type="dxa"/>
              <w:bottom w:w="80" w:type="dxa"/>
              <w:left w:w="120" w:type="dxa"/>
              <w:right w:w="120" w:type="dxa"/>
            </w:tcMar>
          </w:tcPr>
          <w:p>
            <w:pPr>
              <w:spacing w:before="60" w:after="60" w:line="276" w:lineRule="auto"/>
              <w:jc w:val="left"/>
            </w:pPr>
            <w:r>
              <w:rPr>
                <w:rFonts w:ascii="Times New Roman" w:hAnsi="Times New Roman"/>
                <w:b/>
                <w:color w:val="000000"/>
              </w:rPr>
            </w:r>
            <w:r>
              <w:rPr>
                <w:rFonts w:ascii="Times New Roman" w:hAnsi="Times New Roman"/>
                <w:b/>
                <w:color w:val="000000"/>
                <w:sz w:val="23"/>
              </w:rPr>
              <w:t>Literature &amp; Industry Grounding</w:t>
            </w:r>
          </w:p>
        </w:tc>
      </w:tr>
      <w:tr>
        <w:tc>
          <w:tcPr>
            <w:tcW w:type="dxa" w:w="312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color w:val="000000"/>
                <w:sz w:val="23"/>
              </w:rPr>
              <w:t>Sensor Measurement Accuracy</w:t>
            </w:r>
          </w:p>
        </w:tc>
        <w:tc>
          <w:tcPr>
            <w:tcW w:type="dxa" w:w="312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color w:val="000000"/>
                <w:sz w:val="23"/>
              </w:rPr>
              <w:t>90% – 95%</w:t>
            </w:r>
          </w:p>
        </w:tc>
        <w:tc>
          <w:tcPr>
            <w:tcW w:type="dxa" w:w="312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3"/>
              </w:rPr>
              <w:t>Supported by precision agriculture calibration studies (Cabia et al., 2025; Mane et al., 2024).</w:t>
            </w:r>
          </w:p>
        </w:tc>
      </w:tr>
      <w:tr>
        <w:tc>
          <w:tcPr>
            <w:tcW w:type="dxa" w:w="312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color w:val="000000"/>
                <w:sz w:val="23"/>
              </w:rPr>
              <w:t>Communication Reliability</w:t>
            </w:r>
          </w:p>
        </w:tc>
        <w:tc>
          <w:tcPr>
            <w:tcW w:type="dxa" w:w="312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color w:val="000000"/>
                <w:sz w:val="23"/>
              </w:rPr>
              <w:t>≥ 95% Packet Delivery</w:t>
            </w:r>
          </w:p>
        </w:tc>
        <w:tc>
          <w:tcPr>
            <w:tcW w:type="dxa" w:w="312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3"/>
              </w:rPr>
              <w:t>Aligned with agricultural WSN standards in open terrain (Suryadevara et al., 2022; Tao et al., 2024).</w:t>
            </w:r>
          </w:p>
        </w:tc>
      </w:tr>
      <w:tr>
        <w:tc>
          <w:tcPr>
            <w:tcW w:type="dxa" w:w="312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color w:val="000000"/>
                <w:sz w:val="23"/>
              </w:rPr>
              <w:t>Continuous Device Uptime</w:t>
            </w:r>
          </w:p>
        </w:tc>
        <w:tc>
          <w:tcPr>
            <w:tcW w:type="dxa" w:w="312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color w:val="000000"/>
                <w:sz w:val="23"/>
              </w:rPr>
              <w:t>≥ 99% Operational Uptime</w:t>
            </w:r>
          </w:p>
        </w:tc>
        <w:tc>
          <w:tcPr>
            <w:tcW w:type="dxa" w:w="312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3"/>
              </w:rPr>
              <w:t>Consistent with edge-processing agricultural monitoring benchmarks (Rachakonda &amp; Stasiewicz, 2024).</w:t>
            </w:r>
          </w:p>
        </w:tc>
      </w:tr>
      <w:tr>
        <w:tc>
          <w:tcPr>
            <w:tcW w:type="dxa" w:w="312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color w:val="000000"/>
                <w:sz w:val="23"/>
              </w:rPr>
              <w:t>Disease Rule Classification Accuracy</w:t>
            </w:r>
          </w:p>
        </w:tc>
        <w:tc>
          <w:tcPr>
            <w:tcW w:type="dxa" w:w="312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color w:val="000000"/>
                <w:sz w:val="23"/>
              </w:rPr>
              <w:t>≥ 95% Logical Accuracy</w:t>
            </w:r>
          </w:p>
        </w:tc>
        <w:tc>
          <w:tcPr>
            <w:tcW w:type="dxa" w:w="312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3"/>
              </w:rPr>
              <w:t>Grounded in plant pathology epidemiological models (Boulton et al., 2023; Silva et al., 2024).</w:t>
            </w:r>
          </w:p>
        </w:tc>
      </w:tr>
      <w:tr>
        <w:tc>
          <w:tcPr>
            <w:tcW w:type="dxa" w:w="312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color w:val="000000"/>
                <w:sz w:val="23"/>
              </w:rPr>
              <w:t>Battery Autonomy (Zero Sunlight)</w:t>
            </w:r>
          </w:p>
        </w:tc>
        <w:tc>
          <w:tcPr>
            <w:tcW w:type="dxa" w:w="312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color w:val="000000"/>
                <w:sz w:val="23"/>
              </w:rPr>
              <w:t>≥ 3 Days (72 Hours)</w:t>
            </w:r>
          </w:p>
        </w:tc>
        <w:tc>
          <w:tcPr>
            <w:tcW w:type="dxa" w:w="312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3"/>
              </w:rPr>
              <w:t>Satisfies tropical agricultural power resilience standards for monsoon periods (Gao et al., 2023).</w:t>
            </w:r>
          </w:p>
        </w:tc>
      </w:tr>
      <w:tr>
        <w:tc>
          <w:tcPr>
            <w:tcW w:type="dxa" w:w="312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color w:val="000000"/>
                <w:sz w:val="23"/>
              </w:rPr>
              <w:t>System Usability Scale (SUS) Score</w:t>
            </w:r>
          </w:p>
        </w:tc>
        <w:tc>
          <w:tcPr>
            <w:tcW w:type="dxa" w:w="312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color w:val="000000"/>
                <w:sz w:val="23"/>
              </w:rPr>
              <w:t>≥ 80.0 / 100</w:t>
            </w:r>
          </w:p>
        </w:tc>
        <w:tc>
          <w:tcPr>
            <w:tcW w:type="dxa" w:w="3120"/>
            <w:shd w:fill="FFFFFF"/>
            <w:tcMar>
              <w:top w:w="80" w:type="dxa"/>
              <w:bottom w:w="80" w:type="dxa"/>
              <w:left w:w="120" w:type="dxa"/>
              <w:right w:w="120" w:type="dxa"/>
            </w:tcMar>
          </w:tcPr>
          <w:p>
            <w:pPr>
              <w:spacing w:before="60" w:after="60" w:line="276" w:lineRule="auto"/>
              <w:jc w:val="left"/>
            </w:pPr>
            <w:r>
              <w:rPr>
                <w:rFonts w:ascii="Times New Roman" w:hAnsi="Times New Roman"/>
                <w:color w:val="000000"/>
              </w:rPr>
            </w:r>
            <w:r>
              <w:rPr>
                <w:rFonts w:ascii="Times New Roman" w:hAnsi="Times New Roman"/>
                <w:b w:val="0"/>
                <w:color w:val="000000"/>
                <w:sz w:val="23"/>
              </w:rPr>
              <w:t>Standard software engineering usability threshold for intuitive web tools (Turner, 2022).</w:t>
            </w:r>
          </w:p>
        </w:tc>
      </w:tr>
    </w:tbl>
    <w:p>
      <w:pPr>
        <w:spacing w:after="120"/>
      </w:pPr>
    </w:p>
    <w:p>
      <w:pPr>
        <w:keepNext/>
        <w:spacing w:before="280" w:after="120"/>
        <w:jc w:val="left"/>
      </w:pPr>
      <w:r>
        <w:rPr>
          <w:rFonts w:ascii="Times New Roman" w:hAnsi="Times New Roman"/>
          <w:b/>
          <w:sz w:val="26"/>
        </w:rPr>
        <w:t>3.5 Implementation Plan</w:t>
      </w:r>
    </w:p>
    <w:p>
      <w:pPr>
        <w:spacing w:before="0" w:after="120" w:line="360" w:lineRule="auto"/>
        <w:ind w:firstLine="720"/>
        <w:jc w:val="both"/>
      </w:pPr>
      <w:r>
        <w:rPr>
          <w:rFonts w:ascii="Times New Roman" w:hAnsi="Times New Roman"/>
          <w:b w:val="0"/>
          <w:color w:val="000000"/>
          <w:sz w:val="24"/>
        </w:rPr>
        <w:t>This section presents the implementation plan for the proposed SolanaWatch system. It identifies the internal and external environments in which the system will operate, discusses feasibility studies, and outlines deployment procedures.</w:t>
      </w:r>
    </w:p>
    <w:p>
      <w:pPr>
        <w:keepNext/>
        <w:spacing w:before="200" w:after="80"/>
        <w:jc w:val="left"/>
      </w:pPr>
      <w:r>
        <w:rPr>
          <w:rFonts w:ascii="Times New Roman" w:hAnsi="Times New Roman"/>
          <w:b/>
          <w:sz w:val="24"/>
        </w:rPr>
        <w:t>3.5.1 Implementation Environments</w:t>
      </w:r>
    </w:p>
    <w:p>
      <w:pPr>
        <w:keepNext/>
        <w:spacing w:before="160" w:after="60"/>
      </w:pPr>
      <w:r>
        <w:rPr>
          <w:rFonts w:ascii="Times New Roman" w:hAnsi="Times New Roman"/>
          <w:b/>
          <w:sz w:val="24"/>
        </w:rPr>
        <w:t>Internal Environment</w:t>
      </w:r>
    </w:p>
    <w:p>
      <w:pPr>
        <w:spacing w:before="0" w:after="120" w:line="360" w:lineRule="auto"/>
        <w:ind w:firstLine="720"/>
        <w:jc w:val="both"/>
      </w:pPr>
      <w:r>
        <w:rPr>
          <w:rFonts w:ascii="Times New Roman" w:hAnsi="Times New Roman"/>
          <w:b w:val="0"/>
          <w:color w:val="000000"/>
          <w:sz w:val="24"/>
        </w:rPr>
        <w:t>The internal environment consists of the hardware, software, researchers, and users directly involved in the operation and maintenance of the SolanaWatch system. These components work together to collect environmental data, analyze disease risk, and deliver timely notifications through the web-based monitoring platform.</w:t>
      </w:r>
    </w:p>
    <w:p>
      <w:pPr>
        <w:spacing w:before="0" w:after="120" w:line="360" w:lineRule="auto"/>
        <w:ind w:firstLine="720"/>
        <w:jc w:val="both"/>
      </w:pPr>
      <w:r>
        <w:rPr>
          <w:rFonts w:ascii="Times New Roman" w:hAnsi="Times New Roman"/>
          <w:b w:val="0"/>
          <w:color w:val="000000"/>
          <w:sz w:val="24"/>
        </w:rPr>
        <w:t>The implementation of SolanaWatch is expected to improve the efficiency of disease monitoring by automating environmental data collection and analysis. Instead of relying solely on manual observation, users can continuously monitor field conditions through the web dashboard. The system also reduces the risk of human error in environmental monitoring while providing centralized storage of historical sensor data for future reference.</w:t>
      </w:r>
    </w:p>
    <w:p>
      <w:pPr>
        <w:spacing w:before="0" w:after="120" w:line="360" w:lineRule="auto"/>
        <w:ind w:firstLine="720"/>
        <w:jc w:val="both"/>
      </w:pPr>
      <w:r>
        <w:rPr>
          <w:rFonts w:ascii="Times New Roman" w:hAnsi="Times New Roman"/>
          <w:b w:val="0"/>
          <w:color w:val="000000"/>
          <w:sz w:val="24"/>
        </w:rPr>
        <w:t>Within the development team, the implementation process encourages collaboration among hardware integration, embedded programming, backend development, and user interface design. Because the project follows the Prototyping Model, improvements identified during testing can be incorporated before the system's final deployment.</w:t>
      </w:r>
    </w:p>
    <w:p>
      <w:pPr>
        <w:keepNext/>
        <w:spacing w:before="160" w:after="60"/>
      </w:pPr>
      <w:r>
        <w:rPr>
          <w:rFonts w:ascii="Times New Roman" w:hAnsi="Times New Roman"/>
          <w:b/>
          <w:sz w:val="24"/>
        </w:rPr>
        <w:t>External Environment</w:t>
      </w:r>
    </w:p>
    <w:p>
      <w:pPr>
        <w:spacing w:before="0" w:after="120" w:line="360" w:lineRule="auto"/>
        <w:ind w:firstLine="720"/>
        <w:jc w:val="both"/>
      </w:pPr>
      <w:r>
        <w:rPr>
          <w:rFonts w:ascii="Times New Roman" w:hAnsi="Times New Roman"/>
          <w:b w:val="0"/>
          <w:color w:val="000000"/>
          <w:sz w:val="24"/>
        </w:rPr>
        <w:t>The external environment refers to the agricultural setting where the SolanaWatch system will be deployed, including smallholder and small-scale farmers, agricultural extension technicians, environmental conditions, internet connectivity, and other external factors that may influence system performance.</w:t>
      </w:r>
    </w:p>
    <w:p>
      <w:pPr>
        <w:spacing w:before="0" w:after="120" w:line="360" w:lineRule="auto"/>
        <w:ind w:firstLine="720"/>
        <w:jc w:val="both"/>
      </w:pPr>
      <w:r>
        <w:rPr>
          <w:rFonts w:ascii="Times New Roman" w:hAnsi="Times New Roman"/>
          <w:b w:val="0"/>
          <w:color w:val="000000"/>
          <w:sz w:val="24"/>
        </w:rPr>
        <w:t>The proposed system is expected to positively affect smallholder Solanaceae farmers by providing early warnings whenever environmental conditions become favorable for the development of late blight and bacterial wilt. Through timely notifications, farmers can perform preventive actions before visible disease symptoms appear, reducing potential crop losses and improving crop management practices.</w:t>
      </w:r>
    </w:p>
    <w:p>
      <w:pPr>
        <w:spacing w:before="0" w:after="120" w:line="360" w:lineRule="auto"/>
        <w:ind w:firstLine="720"/>
        <w:jc w:val="both"/>
      </w:pPr>
      <w:r>
        <w:rPr>
          <w:rFonts w:ascii="Times New Roman" w:hAnsi="Times New Roman"/>
          <w:b w:val="0"/>
          <w:color w:val="000000"/>
          <w:sz w:val="24"/>
        </w:rPr>
        <w:t>Environmental factors such as rainfall, extreme temperatures, prolonged humidity, unstable internet connectivity, and power interruptions may influence the operation of the system. To minimize these effects, SolanaWatch incorporates local MicroSD edge logging, an autonomous solar-assisted LiFePO₄ battery subsystem, and automatic cloud synchronization once connectivity is restored. These features improve system reliability during field deployment.</w:t>
      </w:r>
    </w:p>
    <w:p>
      <w:pPr>
        <w:keepNext/>
        <w:spacing w:before="200" w:after="80"/>
        <w:jc w:val="left"/>
      </w:pPr>
      <w:r>
        <w:rPr>
          <w:rFonts w:ascii="Times New Roman" w:hAnsi="Times New Roman"/>
          <w:b/>
          <w:sz w:val="24"/>
        </w:rPr>
        <w:t>3.5.2 Feasibility Studies</w:t>
      </w:r>
    </w:p>
    <w:p>
      <w:pPr>
        <w:keepNext/>
        <w:spacing w:before="160" w:after="60"/>
      </w:pPr>
      <w:r>
        <w:rPr>
          <w:rFonts w:ascii="Times New Roman" w:hAnsi="Times New Roman"/>
          <w:b/>
          <w:sz w:val="24"/>
        </w:rPr>
        <w:t>Technical Feasibility</w:t>
      </w:r>
    </w:p>
    <w:p>
      <w:pPr>
        <w:spacing w:before="0" w:after="120" w:line="360" w:lineRule="auto"/>
        <w:ind w:firstLine="720"/>
        <w:jc w:val="both"/>
      </w:pPr>
      <w:r>
        <w:rPr>
          <w:rFonts w:ascii="Times New Roman" w:hAnsi="Times New Roman"/>
          <w:b w:val="0"/>
          <w:color w:val="000000"/>
          <w:sz w:val="24"/>
        </w:rPr>
        <w:t>The technical viability of SolanaWatch is supported by the selection of the ESP32 platform, which provides sufficient processing power, rich peripheral buses, and integrated wireless connectivity for real-time environmental monitoring. The software stack, utilizing Node.js for backend logic and Turso as a distributed cloud database, ensures low-latency data synchronization and high availability. Furthermore, the implementation of a local logging fail-safe via the MicroSD card module and a custom PCB shield provides a robust solution for preserving data integrity and electrical reliability in agricultural field environments.</w:t>
      </w:r>
    </w:p>
    <w:p>
      <w:pPr>
        <w:keepNext/>
        <w:spacing w:before="160" w:after="60"/>
      </w:pPr>
      <w:r>
        <w:rPr>
          <w:rFonts w:ascii="Times New Roman" w:hAnsi="Times New Roman"/>
          <w:b/>
          <w:sz w:val="24"/>
        </w:rPr>
        <w:t>Operational Feasibility</w:t>
      </w:r>
    </w:p>
    <w:p>
      <w:pPr>
        <w:spacing w:before="0" w:after="120" w:line="360" w:lineRule="auto"/>
        <w:ind w:firstLine="720"/>
        <w:jc w:val="both"/>
      </w:pPr>
      <w:r>
        <w:rPr>
          <w:rFonts w:ascii="Times New Roman" w:hAnsi="Times New Roman"/>
          <w:b w:val="0"/>
          <w:color w:val="000000"/>
          <w:sz w:val="24"/>
        </w:rPr>
        <w:t>The proposed system is operationally feasible because it is designed to complement existing farming practices without requiring significant changes to daily routines. Once installed in the crop field, the IoT monitoring device continuously gathers environmental data and automatically uploads the collected information to the cloud.</w:t>
      </w:r>
    </w:p>
    <w:p>
      <w:pPr>
        <w:spacing w:before="0" w:after="120" w:line="360" w:lineRule="auto"/>
        <w:ind w:firstLine="720"/>
        <w:jc w:val="both"/>
      </w:pPr>
      <w:r>
        <w:rPr>
          <w:rFonts w:ascii="Times New Roman" w:hAnsi="Times New Roman"/>
          <w:b w:val="0"/>
          <w:color w:val="000000"/>
          <w:sz w:val="24"/>
        </w:rPr>
        <w:t>Users interact with the system primarily through the web-based dashboard, where they can monitor environmental conditions, review historical records, and receive disease-risk notifications. Since the dashboard is accessible using standard web browsers on mobile phones or computers, no specialized software installation is required. The incorporation of automated data collection, cloud synchronization, and intuitive visualization allows farmers and technicians to utilize the system with minimal technical knowledge after a brief orientation.</w:t>
      </w:r>
    </w:p>
    <w:p>
      <w:pPr>
        <w:keepNext/>
        <w:spacing w:before="160" w:after="60"/>
      </w:pPr>
      <w:r>
        <w:rPr>
          <w:rFonts w:ascii="Times New Roman" w:hAnsi="Times New Roman"/>
          <w:b/>
          <w:sz w:val="24"/>
        </w:rPr>
        <w:t>Economic Feasibility</w:t>
      </w:r>
    </w:p>
    <w:p>
      <w:pPr>
        <w:spacing w:before="0" w:after="120" w:line="360" w:lineRule="auto"/>
        <w:ind w:firstLine="720"/>
        <w:jc w:val="both"/>
      </w:pPr>
      <w:r>
        <w:rPr>
          <w:rFonts w:ascii="Times New Roman" w:hAnsi="Times New Roman"/>
          <w:b w:val="0"/>
          <w:color w:val="000000"/>
          <w:sz w:val="24"/>
        </w:rPr>
        <w:t xml:space="preserve">The proposed SolanaWatch system is considered economically feasible because it utilizes commercially available, low-cost IoT components. Based on the hardware bill of materials shown in Table 6, the hardware required to develop the prototype is approximately </w:t>
      </w:r>
      <w:r>
        <w:rPr>
          <w:rFonts w:ascii="Times New Roman" w:hAnsi="Times New Roman"/>
          <w:b/>
          <w:color w:val="000000"/>
          <w:sz w:val="24"/>
        </w:rPr>
        <w:t>₱7,208.00</w:t>
      </w:r>
      <w:r>
        <w:rPr>
          <w:rFonts w:ascii="Times New Roman" w:hAnsi="Times New Roman"/>
          <w:b w:val="0"/>
          <w:color w:val="000000"/>
          <w:sz w:val="24"/>
        </w:rPr>
        <w:t>. Most of the software technologies used in the project, including Visual Studio Code, PlatformIO, React.js, Node.js, Turso libSQL, GitHub, and Vite, are available as free or open-source platforms, eliminating software licensing expenses. Although the initial investment is primarily attributed to the environmental sensors and solar power components, the system is expected to reduce crop losses caused by delayed disease detection, providing significant economic benefits to smallholder farmers through improved monitoring efficiency and timely preventive interventions.</w:t>
      </w:r>
    </w:p>
    <w:p>
      <w:pPr>
        <w:keepNext/>
        <w:spacing w:before="200" w:after="80"/>
        <w:jc w:val="left"/>
      </w:pPr>
      <w:r>
        <w:rPr>
          <w:rFonts w:ascii="Times New Roman" w:hAnsi="Times New Roman"/>
          <w:b/>
          <w:sz w:val="24"/>
        </w:rPr>
        <w:t>3.5.3 Deployment Procedures</w:t>
      </w:r>
    </w:p>
    <w:p>
      <w:pPr>
        <w:spacing w:before="0" w:after="120" w:line="360" w:lineRule="auto"/>
        <w:ind w:firstLine="720"/>
        <w:jc w:val="both"/>
      </w:pPr>
      <w:r>
        <w:rPr>
          <w:rFonts w:ascii="Times New Roman" w:hAnsi="Times New Roman"/>
          <w:b w:val="0"/>
          <w:color w:val="000000"/>
          <w:sz w:val="24"/>
        </w:rPr>
        <w:t>The deployment of the SolanaWatch system will be carried out after the successful completion of system testing and validation:</w:t>
      </w:r>
    </w:p>
    <w:p>
      <w:pPr>
        <w:pStyle w:val="ListNumber"/>
        <w:spacing w:after="60" w:line="360" w:lineRule="auto"/>
      </w:pPr>
      <w:r>
        <w:rPr>
          <w:rFonts w:ascii="Times New Roman" w:hAnsi="Times New Roman"/>
          <w:b/>
          <w:color w:val="000000"/>
          <w:sz w:val="24"/>
        </w:rPr>
        <w:t>Sensor Calibration</w:t>
      </w:r>
      <w:r>
        <w:rPr>
          <w:rFonts w:ascii="Times New Roman" w:hAnsi="Times New Roman"/>
          <w:b w:val="0"/>
          <w:color w:val="000000"/>
          <w:sz w:val="24"/>
        </w:rPr>
        <w:t>: Execute 2-point calibration on the capacitive soil moisture sensor and verify temperature/humidity reference baselines in the laboratory.</w:t>
      </w:r>
    </w:p>
    <w:p>
      <w:pPr>
        <w:pStyle w:val="ListNumber"/>
        <w:spacing w:after="60" w:line="360" w:lineRule="auto"/>
      </w:pPr>
      <w:r>
        <w:rPr>
          <w:rFonts w:ascii="Times New Roman" w:hAnsi="Times New Roman"/>
          <w:b/>
          <w:color w:val="000000"/>
          <w:sz w:val="24"/>
        </w:rPr>
        <w:t>Mounting and Enclosure Installation</w:t>
      </w:r>
      <w:r>
        <w:rPr>
          <w:rFonts w:ascii="Times New Roman" w:hAnsi="Times New Roman"/>
          <w:b w:val="0"/>
          <w:color w:val="000000"/>
          <w:sz w:val="24"/>
        </w:rPr>
        <w:t>: Mount the IP66 weatherproof enclosure and solar PV panel (angled toward true South) on a 1.5m galvanized steel field mast in a representative Solanaceae crop plot.</w:t>
      </w:r>
    </w:p>
    <w:p>
      <w:pPr>
        <w:pStyle w:val="ListNumber"/>
        <w:spacing w:after="60" w:line="360" w:lineRule="auto"/>
      </w:pPr>
      <w:r>
        <w:rPr>
          <w:rFonts w:ascii="Times New Roman" w:hAnsi="Times New Roman"/>
          <w:b/>
          <w:color w:val="000000"/>
          <w:sz w:val="24"/>
        </w:rPr>
        <w:t>Sensor Placement</w:t>
      </w:r>
      <w:r>
        <w:rPr>
          <w:rFonts w:ascii="Times New Roman" w:hAnsi="Times New Roman"/>
          <w:b w:val="0"/>
          <w:color w:val="000000"/>
          <w:sz w:val="24"/>
        </w:rPr>
        <w:t>: Install the DHT22 inside the Stevenson radiation shield at canopy height (1.0–1.2m), position the RS485 leaf wetness sensor in the crop foliage, and insert the DS18B20 and capacitive soil moisture probe into the root-zone soil at 10cm depth.</w:t>
      </w:r>
    </w:p>
    <w:p>
      <w:pPr>
        <w:pStyle w:val="ListNumber"/>
        <w:spacing w:after="60" w:line="360" w:lineRule="auto"/>
      </w:pPr>
      <w:r>
        <w:rPr>
          <w:rFonts w:ascii="Times New Roman" w:hAnsi="Times New Roman"/>
          <w:b/>
          <w:color w:val="000000"/>
          <w:sz w:val="24"/>
        </w:rPr>
        <w:t>Network and Cloud Commissioning</w:t>
      </w:r>
      <w:r>
        <w:rPr>
          <w:rFonts w:ascii="Times New Roman" w:hAnsi="Times New Roman"/>
          <w:b w:val="0"/>
          <w:color w:val="000000"/>
          <w:sz w:val="24"/>
        </w:rPr>
        <w:t>: Power on the system via the solar charge controller, establish the 2.4 GHz Wi-Fi connection with the local router, and verify device registration on the Turso cloud backend.</w:t>
      </w:r>
    </w:p>
    <w:p>
      <w:pPr>
        <w:pStyle w:val="ListNumber"/>
        <w:spacing w:after="60" w:line="360" w:lineRule="auto"/>
      </w:pPr>
      <w:r>
        <w:rPr>
          <w:rFonts w:ascii="Times New Roman" w:hAnsi="Times New Roman"/>
          <w:b/>
          <w:color w:val="000000"/>
          <w:sz w:val="24"/>
        </w:rPr>
        <w:t>Operational Verification &amp; Service Activation</w:t>
      </w:r>
      <w:r>
        <w:rPr>
          <w:rFonts w:ascii="Times New Roman" w:hAnsi="Times New Roman"/>
          <w:b w:val="0"/>
          <w:color w:val="000000"/>
          <w:sz w:val="24"/>
        </w:rPr>
        <w:t>: Perform diagnostic sensor telemetry readings on the React web dashboard, simulate a network dropout to confirm local MicroSD logging, and activate the continuous 24/7 automated disease-risk surveillance loop.</w:t>
      </w:r>
    </w:p>
    <w:p>
      <w:pPr>
        <w:keepNext/>
        <w:spacing w:before="360" w:after="160"/>
        <w:jc w:val="center"/>
      </w:pPr>
      <w:r>
        <w:rPr>
          <w:rFonts w:ascii="Times New Roman" w:hAnsi="Times New Roman"/>
          <w:b/>
          <w:sz w:val="28"/>
        </w:rPr>
        <w:t>SolanaWatch: Bibliography (APA 7th Edition)</w:t>
      </w:r>
    </w:p>
    <w:p>
      <w:pPr>
        <w:spacing w:before="0" w:after="120" w:line="360" w:lineRule="auto"/>
        <w:ind w:left="720" w:hanging="720"/>
        <w:jc w:val="left"/>
      </w:pPr>
      <w:r>
        <w:rPr>
          <w:rFonts w:ascii="Times New Roman" w:hAnsi="Times New Roman"/>
          <w:b w:val="0"/>
          <w:color w:val="000000"/>
          <w:sz w:val="24"/>
        </w:rPr>
        <w:t>Aquino, A. L., Bon, S. G., Guanlao, A. P., Magnaye, A. M. A., Sta. Cruz, F. C., &amp; Sta. Cruz, P. C. (2024). Field assessment of fertilization, nursery, and crop management practices among tomato (</w:t>
      </w:r>
      <w:r>
        <w:rPr>
          <w:rFonts w:ascii="Times New Roman" w:hAnsi="Times New Roman"/>
          <w:i/>
          <w:color w:val="000000"/>
          <w:sz w:val="24"/>
        </w:rPr>
        <w:t>Solanum lycopersicum</w:t>
      </w:r>
      <w:r>
        <w:rPr>
          <w:rFonts w:ascii="Times New Roman" w:hAnsi="Times New Roman"/>
          <w:b w:val="0"/>
          <w:color w:val="000000"/>
          <w:sz w:val="24"/>
        </w:rPr>
        <w:t xml:space="preserve"> L.) growers in the Ilocos Provinces, Philippines. </w:t>
      </w:r>
      <w:r>
        <w:rPr>
          <w:rFonts w:ascii="Times New Roman" w:hAnsi="Times New Roman"/>
          <w:i/>
          <w:color w:val="000000"/>
          <w:sz w:val="24"/>
        </w:rPr>
        <w:t>The Philippine Agricultural Scientist</w:t>
      </w:r>
      <w:r>
        <w:rPr>
          <w:rFonts w:ascii="Times New Roman" w:hAnsi="Times New Roman"/>
          <w:b w:val="0"/>
          <w:color w:val="000000"/>
          <w:sz w:val="24"/>
        </w:rPr>
        <w:t>, 107(4), 354–365.</w:t>
      </w:r>
    </w:p>
    <w:p>
      <w:pPr>
        <w:spacing w:before="0" w:after="120" w:line="360" w:lineRule="auto"/>
        <w:ind w:left="720" w:hanging="720"/>
        <w:jc w:val="left"/>
      </w:pPr>
      <w:r>
        <w:rPr>
          <w:rFonts w:ascii="Times New Roman" w:hAnsi="Times New Roman"/>
          <w:b w:val="0"/>
          <w:color w:val="000000"/>
          <w:sz w:val="24"/>
        </w:rPr>
        <w:t>Aubriot, X., &amp; Knapp, S. (2022). A revision of the “spiny solanums” of Tropical Asia (</w:t>
      </w:r>
      <w:r>
        <w:rPr>
          <w:rFonts w:ascii="Times New Roman" w:hAnsi="Times New Roman"/>
          <w:i/>
          <w:color w:val="000000"/>
          <w:sz w:val="24"/>
        </w:rPr>
        <w:t>Solanum</w:t>
      </w:r>
      <w:r>
        <w:rPr>
          <w:rFonts w:ascii="Times New Roman" w:hAnsi="Times New Roman"/>
          <w:b w:val="0"/>
          <w:color w:val="000000"/>
          <w:sz w:val="24"/>
        </w:rPr>
        <w:t xml:space="preserve">, the Leptostemonum Clade, Solanaceae). </w:t>
      </w:r>
      <w:r>
        <w:rPr>
          <w:rFonts w:ascii="Times New Roman" w:hAnsi="Times New Roman"/>
          <w:i/>
          <w:color w:val="000000"/>
          <w:sz w:val="24"/>
        </w:rPr>
        <w:t>PhytoKeys</w:t>
      </w:r>
      <w:r>
        <w:rPr>
          <w:rFonts w:ascii="Times New Roman" w:hAnsi="Times New Roman"/>
          <w:b w:val="0"/>
          <w:color w:val="000000"/>
          <w:sz w:val="24"/>
        </w:rPr>
        <w:t>, 198, 1–270. https://doi.org/10.3897/phytokeys.198.79514</w:t>
      </w:r>
    </w:p>
    <w:p>
      <w:pPr>
        <w:spacing w:before="0" w:after="120" w:line="360" w:lineRule="auto"/>
        <w:ind w:left="720" w:hanging="720"/>
        <w:jc w:val="left"/>
      </w:pPr>
      <w:r>
        <w:rPr>
          <w:rFonts w:ascii="Times New Roman" w:hAnsi="Times New Roman"/>
          <w:b w:val="0"/>
          <w:color w:val="000000"/>
          <w:sz w:val="24"/>
        </w:rPr>
        <w:t>Aumentado, H. D., &amp; Balendres, M. A. (2024). Diseases of eggplant (</w:t>
      </w:r>
      <w:r>
        <w:rPr>
          <w:rFonts w:ascii="Times New Roman" w:hAnsi="Times New Roman"/>
          <w:i/>
          <w:color w:val="000000"/>
          <w:sz w:val="24"/>
        </w:rPr>
        <w:t>Solanum melongena</w:t>
      </w:r>
      <w:r>
        <w:rPr>
          <w:rFonts w:ascii="Times New Roman" w:hAnsi="Times New Roman"/>
          <w:b w:val="0"/>
          <w:color w:val="000000"/>
          <w:sz w:val="24"/>
        </w:rPr>
        <w:t xml:space="preserve"> L.) and sustainable management in Asia. </w:t>
      </w:r>
      <w:r>
        <w:rPr>
          <w:rFonts w:ascii="Times New Roman" w:hAnsi="Times New Roman"/>
          <w:i/>
          <w:color w:val="000000"/>
          <w:sz w:val="24"/>
        </w:rPr>
        <w:t>Plant Pathology &amp; Quarantine</w:t>
      </w:r>
      <w:r>
        <w:rPr>
          <w:rFonts w:ascii="Times New Roman" w:hAnsi="Times New Roman"/>
          <w:b w:val="0"/>
          <w:color w:val="000000"/>
          <w:sz w:val="24"/>
        </w:rPr>
        <w:t>, 14(1), 98–117. https://doi.org/10.5943/ppq/14/1/9</w:t>
      </w:r>
    </w:p>
    <w:p>
      <w:pPr>
        <w:spacing w:before="0" w:after="120" w:line="360" w:lineRule="auto"/>
        <w:ind w:left="720" w:hanging="720"/>
        <w:jc w:val="left"/>
      </w:pPr>
      <w:r>
        <w:rPr>
          <w:rFonts w:ascii="Times New Roman" w:hAnsi="Times New Roman"/>
          <w:b w:val="0"/>
          <w:color w:val="000000"/>
          <w:sz w:val="24"/>
        </w:rPr>
        <w:t xml:space="preserve">Benameur, R., Dahane, A., Kechar, B., &amp; Benyamina, A. E. H. (2024). An innovative smart and sustainable low-cost irrigation system for anomaly detection using deep learning. </w:t>
      </w:r>
      <w:r>
        <w:rPr>
          <w:rFonts w:ascii="Times New Roman" w:hAnsi="Times New Roman"/>
          <w:i/>
          <w:color w:val="000000"/>
          <w:sz w:val="24"/>
        </w:rPr>
        <w:t>Sensors</w:t>
      </w:r>
      <w:r>
        <w:rPr>
          <w:rFonts w:ascii="Times New Roman" w:hAnsi="Times New Roman"/>
          <w:b w:val="0"/>
          <w:color w:val="000000"/>
          <w:sz w:val="24"/>
        </w:rPr>
        <w:t>, 24(4), Article 1162. https://doi.org/10.3390/s24041162</w:t>
      </w:r>
    </w:p>
    <w:p>
      <w:pPr>
        <w:spacing w:before="0" w:after="120" w:line="360" w:lineRule="auto"/>
        <w:ind w:left="720" w:hanging="720"/>
        <w:jc w:val="left"/>
      </w:pPr>
      <w:r>
        <w:rPr>
          <w:rFonts w:ascii="Times New Roman" w:hAnsi="Times New Roman"/>
          <w:b w:val="0"/>
          <w:color w:val="000000"/>
          <w:sz w:val="24"/>
        </w:rPr>
        <w:t xml:space="preserve">Botero-Valencia, J. S., Mejia-Herrera, M., &amp; Pearce, J. M. (2022). Low cost climate station for smart agriculture applications with photovoltaic energy and wireless communication. </w:t>
      </w:r>
      <w:r>
        <w:rPr>
          <w:rFonts w:ascii="Times New Roman" w:hAnsi="Times New Roman"/>
          <w:i/>
          <w:color w:val="000000"/>
          <w:sz w:val="24"/>
        </w:rPr>
        <w:t>HardwareX</w:t>
      </w:r>
      <w:r>
        <w:rPr>
          <w:rFonts w:ascii="Times New Roman" w:hAnsi="Times New Roman"/>
          <w:b w:val="0"/>
          <w:color w:val="000000"/>
          <w:sz w:val="24"/>
        </w:rPr>
        <w:t>, 12, Article e00296. https://doi.org/10.1016/j.ohx.2022.e00296</w:t>
      </w:r>
    </w:p>
    <w:p>
      <w:pPr>
        <w:spacing w:before="0" w:after="120" w:line="360" w:lineRule="auto"/>
        <w:ind w:left="720" w:hanging="720"/>
        <w:jc w:val="left"/>
      </w:pPr>
      <w:r>
        <w:rPr>
          <w:rFonts w:ascii="Times New Roman" w:hAnsi="Times New Roman"/>
          <w:b w:val="0"/>
          <w:color w:val="000000"/>
          <w:sz w:val="24"/>
        </w:rPr>
        <w:t xml:space="preserve">Boulton, A., et al. (2023). Predicting daily aerobiological risk level of potato late blight using C5.0 and random forest algorithms under field conditions. </w:t>
      </w:r>
      <w:r>
        <w:rPr>
          <w:rFonts w:ascii="Times New Roman" w:hAnsi="Times New Roman"/>
          <w:i/>
          <w:color w:val="000000"/>
          <w:sz w:val="24"/>
        </w:rPr>
        <w:t>Plants</w:t>
      </w:r>
      <w:r>
        <w:rPr>
          <w:rFonts w:ascii="Times New Roman" w:hAnsi="Times New Roman"/>
          <w:b w:val="0"/>
          <w:color w:val="000000"/>
          <w:sz w:val="24"/>
        </w:rPr>
        <w:t>, 12(9), Article 1837. https://doi.org/10.3390/plants12091837</w:t>
      </w:r>
    </w:p>
    <w:p>
      <w:pPr>
        <w:spacing w:before="0" w:after="120" w:line="360" w:lineRule="auto"/>
        <w:ind w:left="720" w:hanging="720"/>
        <w:jc w:val="left"/>
      </w:pPr>
      <w:r>
        <w:rPr>
          <w:rFonts w:ascii="Times New Roman" w:hAnsi="Times New Roman"/>
          <w:b w:val="0"/>
          <w:color w:val="000000"/>
          <w:sz w:val="24"/>
        </w:rPr>
        <w:t xml:space="preserve">Cabia, C. A., Sumaria, M. C., De Padua, E., &amp; Leorna, N. (2025). Quantifying calibration strategies for capacitive soil-moisture sensors (V1.2 SKU: FA3003-1) in automated drip irrigation for upland, rainfed farms. </w:t>
      </w:r>
      <w:r>
        <w:rPr>
          <w:rFonts w:ascii="Times New Roman" w:hAnsi="Times New Roman"/>
          <w:i/>
          <w:color w:val="000000"/>
          <w:sz w:val="24"/>
        </w:rPr>
        <w:t>Annals of Tropical Research</w:t>
      </w:r>
      <w:r>
        <w:rPr>
          <w:rFonts w:ascii="Times New Roman" w:hAnsi="Times New Roman"/>
          <w:b w:val="0"/>
          <w:color w:val="000000"/>
          <w:sz w:val="24"/>
        </w:rPr>
        <w:t>, 47(2), 90–105. https://doi.org/10.32945/atr4727.2025</w:t>
      </w:r>
    </w:p>
    <w:p>
      <w:pPr>
        <w:spacing w:before="0" w:after="120" w:line="360" w:lineRule="auto"/>
        <w:ind w:left="720" w:hanging="720"/>
        <w:jc w:val="left"/>
      </w:pPr>
      <w:r>
        <w:rPr>
          <w:rFonts w:ascii="Times New Roman" w:hAnsi="Times New Roman"/>
          <w:b w:val="0"/>
          <w:color w:val="000000"/>
          <w:sz w:val="24"/>
        </w:rPr>
        <w:t xml:space="preserve">Caldwell, T. G., Cosh, M. H., Evett, S. R., Edwards, N., Hofman, H., Illston, B. G., Meyers, T. P., Skumanich, M., &amp; Sutcliffe, K. (2022). In situ soil moisture sensors in undisturbed soils. </w:t>
      </w:r>
      <w:r>
        <w:rPr>
          <w:rFonts w:ascii="Times New Roman" w:hAnsi="Times New Roman"/>
          <w:i/>
          <w:color w:val="000000"/>
          <w:sz w:val="24"/>
        </w:rPr>
        <w:t>Journal of Visualized Experiments</w:t>
      </w:r>
      <w:r>
        <w:rPr>
          <w:rFonts w:ascii="Times New Roman" w:hAnsi="Times New Roman"/>
          <w:b w:val="0"/>
          <w:color w:val="000000"/>
          <w:sz w:val="24"/>
        </w:rPr>
        <w:t>, 189, Article e64498. https://doi.org/10.3791/64498</w:t>
      </w:r>
    </w:p>
    <w:p>
      <w:pPr>
        <w:spacing w:before="0" w:after="120" w:line="360" w:lineRule="auto"/>
        <w:ind w:left="720" w:hanging="720"/>
        <w:jc w:val="left"/>
      </w:pPr>
      <w:r>
        <w:rPr>
          <w:rFonts w:ascii="Times New Roman" w:hAnsi="Times New Roman"/>
          <w:b w:val="0"/>
          <w:color w:val="000000"/>
          <w:sz w:val="24"/>
        </w:rPr>
        <w:t xml:space="preserve">Didi, Z., &amp; El Azami, I. (2022). IoT, comparative study between the use of Arduino Uno, ESP32, and Raspberry Pi in greenhouses. In </w:t>
      </w:r>
      <w:r>
        <w:rPr>
          <w:rFonts w:ascii="Times New Roman" w:hAnsi="Times New Roman"/>
          <w:i/>
          <w:color w:val="000000"/>
          <w:sz w:val="24"/>
        </w:rPr>
        <w:t>Digital Technologies and Applications</w:t>
      </w:r>
      <w:r>
        <w:rPr>
          <w:rFonts w:ascii="Times New Roman" w:hAnsi="Times New Roman"/>
          <w:b w:val="0"/>
          <w:color w:val="000000"/>
          <w:sz w:val="24"/>
        </w:rPr>
        <w:t xml:space="preserve"> (pp. 718–726). Springer. https://doi.org/10.1007/978-3-031-02447-4_74</w:t>
      </w:r>
    </w:p>
    <w:p>
      <w:pPr>
        <w:spacing w:before="0" w:after="120" w:line="360" w:lineRule="auto"/>
        <w:ind w:left="720" w:hanging="720"/>
        <w:jc w:val="left"/>
      </w:pPr>
      <w:r>
        <w:rPr>
          <w:rFonts w:ascii="Times New Roman" w:hAnsi="Times New Roman"/>
          <w:b w:val="0"/>
          <w:color w:val="000000"/>
          <w:sz w:val="24"/>
        </w:rPr>
        <w:t xml:space="preserve">Faqir, Y., Qayoom, A., Erasmus, E., Schutte-Smith, M., &amp; Visser, H. G. (2024). A review on the application of advanced soil and plant sensors in the agriculture sector. </w:t>
      </w:r>
      <w:r>
        <w:rPr>
          <w:rFonts w:ascii="Times New Roman" w:hAnsi="Times New Roman"/>
          <w:i/>
          <w:color w:val="000000"/>
          <w:sz w:val="24"/>
        </w:rPr>
        <w:t>Computers and Electronics in Agriculture</w:t>
      </w:r>
      <w:r>
        <w:rPr>
          <w:rFonts w:ascii="Times New Roman" w:hAnsi="Times New Roman"/>
          <w:b w:val="0"/>
          <w:color w:val="000000"/>
          <w:sz w:val="24"/>
        </w:rPr>
        <w:t>, 226, Article 109385. https://doi.org/10.1016/j.compag.2024.109385</w:t>
      </w:r>
    </w:p>
    <w:p>
      <w:pPr>
        <w:spacing w:before="0" w:after="120" w:line="360" w:lineRule="auto"/>
        <w:ind w:left="720" w:hanging="720"/>
        <w:jc w:val="left"/>
      </w:pPr>
      <w:r>
        <w:rPr>
          <w:rFonts w:ascii="Times New Roman" w:hAnsi="Times New Roman"/>
          <w:b w:val="0"/>
          <w:color w:val="000000"/>
          <w:sz w:val="24"/>
        </w:rPr>
        <w:t xml:space="preserve">Fathima, N., B, V. K. S., &amp; Bagali, M. U. (2026). Smart precision agriculture using IoT sensing and machine learning analytics for farming in Mysuru District. </w:t>
      </w:r>
      <w:r>
        <w:rPr>
          <w:rFonts w:ascii="Times New Roman" w:hAnsi="Times New Roman"/>
          <w:i/>
          <w:color w:val="000000"/>
          <w:sz w:val="24"/>
        </w:rPr>
        <w:t>International Journal of Electronics and Communication Engineering</w:t>
      </w:r>
      <w:r>
        <w:rPr>
          <w:rFonts w:ascii="Times New Roman" w:hAnsi="Times New Roman"/>
          <w:b w:val="0"/>
          <w:color w:val="000000"/>
          <w:sz w:val="24"/>
        </w:rPr>
        <w:t>, 13(4), 265–276. https://doi.org/10.14445/23488549/ijece-v13i4p122</w:t>
      </w:r>
    </w:p>
    <w:p>
      <w:pPr>
        <w:spacing w:before="0" w:after="120" w:line="360" w:lineRule="auto"/>
        <w:ind w:left="720" w:hanging="720"/>
        <w:jc w:val="left"/>
      </w:pPr>
      <w:r>
        <w:rPr>
          <w:rFonts w:ascii="Times New Roman" w:hAnsi="Times New Roman"/>
          <w:b w:val="0"/>
          <w:color w:val="000000"/>
          <w:sz w:val="24"/>
        </w:rPr>
        <w:t xml:space="preserve">Gao, X., et al. (2023). Energy-efficient resource scheduling and computation offloading strategy for solar-powered agriculture WSN. </w:t>
      </w:r>
      <w:r>
        <w:rPr>
          <w:rFonts w:ascii="Times New Roman" w:hAnsi="Times New Roman"/>
          <w:i/>
          <w:color w:val="000000"/>
          <w:sz w:val="24"/>
        </w:rPr>
        <w:t>Journal of Sensors</w:t>
      </w:r>
      <w:r>
        <w:rPr>
          <w:rFonts w:ascii="Times New Roman" w:hAnsi="Times New Roman"/>
          <w:b w:val="0"/>
          <w:color w:val="000000"/>
          <w:sz w:val="24"/>
        </w:rPr>
        <w:t>, 2023, Article 7020104. https://doi.org/10.1155/2023/7020104</w:t>
      </w:r>
    </w:p>
    <w:p>
      <w:pPr>
        <w:spacing w:before="0" w:after="120" w:line="360" w:lineRule="auto"/>
        <w:ind w:left="720" w:hanging="720"/>
        <w:jc w:val="left"/>
      </w:pPr>
      <w:r>
        <w:rPr>
          <w:rFonts w:ascii="Times New Roman" w:hAnsi="Times New Roman"/>
          <w:b w:val="0"/>
          <w:color w:val="000000"/>
          <w:sz w:val="24"/>
        </w:rPr>
        <w:t xml:space="preserve">Idris, F., Latiff, A. A., Buntat, M. A., Lecthmanan, Y., &amp; Berahim, Z. (2024). IoT-based fertigation system for agriculture. </w:t>
      </w:r>
      <w:r>
        <w:rPr>
          <w:rFonts w:ascii="Times New Roman" w:hAnsi="Times New Roman"/>
          <w:i/>
          <w:color w:val="000000"/>
          <w:sz w:val="24"/>
        </w:rPr>
        <w:t>Bulletin of Electrical Engineering and Informatics</w:t>
      </w:r>
      <w:r>
        <w:rPr>
          <w:rFonts w:ascii="Times New Roman" w:hAnsi="Times New Roman"/>
          <w:b w:val="0"/>
          <w:color w:val="000000"/>
          <w:sz w:val="24"/>
        </w:rPr>
        <w:t>, 13(3), 1574–1581. https://doi.org/10.11591/eei.v13i3.6829</w:t>
      </w:r>
    </w:p>
    <w:p>
      <w:pPr>
        <w:spacing w:before="0" w:after="120" w:line="360" w:lineRule="auto"/>
        <w:ind w:left="720" w:hanging="720"/>
        <w:jc w:val="left"/>
      </w:pPr>
      <w:r>
        <w:rPr>
          <w:rFonts w:ascii="Times New Roman" w:hAnsi="Times New Roman"/>
          <w:b w:val="0"/>
          <w:color w:val="000000"/>
          <w:sz w:val="24"/>
        </w:rPr>
        <w:t xml:space="preserve">Jafar, A., Bibi, N., Naqvi, R. A., Sadeghi-Niaraki, A., &amp; Jeong, D. (2024). Revolutionizing agriculture with artificial intelligence: Plant disease detection methods, applications, and their limitations. </w:t>
      </w:r>
      <w:r>
        <w:rPr>
          <w:rFonts w:ascii="Times New Roman" w:hAnsi="Times New Roman"/>
          <w:i/>
          <w:color w:val="000000"/>
          <w:sz w:val="24"/>
        </w:rPr>
        <w:t>Frontiers in Plant Science</w:t>
      </w:r>
      <w:r>
        <w:rPr>
          <w:rFonts w:ascii="Times New Roman" w:hAnsi="Times New Roman"/>
          <w:b w:val="0"/>
          <w:color w:val="000000"/>
          <w:sz w:val="24"/>
        </w:rPr>
        <w:t>, 15, Article 1356260. https://doi.org/10.3389/fpls.2024.1356260</w:t>
      </w:r>
    </w:p>
    <w:p>
      <w:pPr>
        <w:spacing w:before="0" w:after="120" w:line="360" w:lineRule="auto"/>
        <w:ind w:left="720" w:hanging="720"/>
        <w:jc w:val="left"/>
      </w:pPr>
      <w:r>
        <w:rPr>
          <w:rFonts w:ascii="Times New Roman" w:hAnsi="Times New Roman"/>
          <w:b w:val="0"/>
          <w:color w:val="000000"/>
          <w:sz w:val="24"/>
        </w:rPr>
        <w:t xml:space="preserve">Jiang, G., Wei, Z., Xu, J., Chen, H., Shen, Q., &amp; Friman, V. P. (2021). Soil moisture determines the incidence of bacterial wilt through altering soil microbial diversity and community structure. </w:t>
      </w:r>
      <w:r>
        <w:rPr>
          <w:rFonts w:ascii="Times New Roman" w:hAnsi="Times New Roman"/>
          <w:i/>
          <w:color w:val="000000"/>
          <w:sz w:val="24"/>
        </w:rPr>
        <w:t>Soil Biology and Biochemistry</w:t>
      </w:r>
      <w:r>
        <w:rPr>
          <w:rFonts w:ascii="Times New Roman" w:hAnsi="Times New Roman"/>
          <w:b w:val="0"/>
          <w:color w:val="000000"/>
          <w:sz w:val="24"/>
        </w:rPr>
        <w:t>, 155, Article 108157. https://doi.org/10.1016/j.soilbio.2021.108157</w:t>
      </w:r>
    </w:p>
    <w:p>
      <w:pPr>
        <w:spacing w:before="0" w:after="120" w:line="360" w:lineRule="auto"/>
        <w:ind w:left="720" w:hanging="720"/>
        <w:jc w:val="left"/>
      </w:pPr>
      <w:r>
        <w:rPr>
          <w:rFonts w:ascii="Times New Roman" w:hAnsi="Times New Roman"/>
          <w:b w:val="0"/>
          <w:color w:val="000000"/>
          <w:sz w:val="24"/>
        </w:rPr>
        <w:t xml:space="preserve">Mane, S., Das, N. N., Singh, G., Cosh, M. H., &amp; Dong, Y. (2024). Advancements in dielectric soil moisture sensor calibration: A comprehensive review of methods and techniques. </w:t>
      </w:r>
      <w:r>
        <w:rPr>
          <w:rFonts w:ascii="Times New Roman" w:hAnsi="Times New Roman"/>
          <w:i/>
          <w:color w:val="000000"/>
          <w:sz w:val="24"/>
        </w:rPr>
        <w:t>Computers and Electronics in Agriculture</w:t>
      </w:r>
      <w:r>
        <w:rPr>
          <w:rFonts w:ascii="Times New Roman" w:hAnsi="Times New Roman"/>
          <w:b w:val="0"/>
          <w:color w:val="000000"/>
          <w:sz w:val="24"/>
        </w:rPr>
        <w:t>, 218, Article 108686. https://doi.org/10.1016/j.compag.2024.108686</w:t>
      </w:r>
    </w:p>
    <w:p>
      <w:pPr>
        <w:spacing w:before="0" w:after="120" w:line="360" w:lineRule="auto"/>
        <w:ind w:left="720" w:hanging="720"/>
        <w:jc w:val="left"/>
      </w:pPr>
      <w:r>
        <w:rPr>
          <w:rFonts w:ascii="Times New Roman" w:hAnsi="Times New Roman"/>
          <w:b w:val="0"/>
          <w:color w:val="000000"/>
          <w:sz w:val="24"/>
        </w:rPr>
        <w:t xml:space="preserve">Mastul, A.-R. H., Awae, A., Bara, Z. J., &amp; Yaro, Y. (2023). The use of IoT on smart agriculture in the Philippines: A narrative review. </w:t>
      </w:r>
      <w:r>
        <w:rPr>
          <w:rFonts w:ascii="Times New Roman" w:hAnsi="Times New Roman"/>
          <w:i/>
          <w:color w:val="000000"/>
          <w:sz w:val="24"/>
        </w:rPr>
        <w:t>Bincang Sains dan Teknologi (BST)</w:t>
      </w:r>
      <w:r>
        <w:rPr>
          <w:rFonts w:ascii="Times New Roman" w:hAnsi="Times New Roman"/>
          <w:b w:val="0"/>
          <w:color w:val="000000"/>
          <w:sz w:val="24"/>
        </w:rPr>
        <w:t>, 2(3), 98–107. https://doi.org/10.56741/bst.v2i03.416</w:t>
      </w:r>
    </w:p>
    <w:p>
      <w:pPr>
        <w:spacing w:before="0" w:after="120" w:line="360" w:lineRule="auto"/>
        <w:ind w:left="720" w:hanging="720"/>
        <w:jc w:val="left"/>
      </w:pPr>
      <w:r>
        <w:rPr>
          <w:rFonts w:ascii="Times New Roman" w:hAnsi="Times New Roman"/>
          <w:b w:val="0"/>
          <w:color w:val="000000"/>
          <w:sz w:val="24"/>
        </w:rPr>
        <w:t xml:space="preserve">Mazumdar, P., Singh, P., Kethiravan, D., Ramathani, I., &amp; Ramakrishnan, N. (2021). Late blight in tomato: Insights into the pathogenesis of the aggressive pathogen </w:t>
      </w:r>
      <w:r>
        <w:rPr>
          <w:rFonts w:ascii="Times New Roman" w:hAnsi="Times New Roman"/>
          <w:i/>
          <w:color w:val="000000"/>
          <w:sz w:val="24"/>
        </w:rPr>
        <w:t>Phytophthora infestans</w:t>
      </w:r>
      <w:r>
        <w:rPr>
          <w:rFonts w:ascii="Times New Roman" w:hAnsi="Times New Roman"/>
          <w:b w:val="0"/>
          <w:color w:val="000000"/>
          <w:sz w:val="24"/>
        </w:rPr>
        <w:t xml:space="preserve"> and future research priorities. </w:t>
      </w:r>
      <w:r>
        <w:rPr>
          <w:rFonts w:ascii="Times New Roman" w:hAnsi="Times New Roman"/>
          <w:i/>
          <w:color w:val="000000"/>
          <w:sz w:val="24"/>
        </w:rPr>
        <w:t>Planta</w:t>
      </w:r>
      <w:r>
        <w:rPr>
          <w:rFonts w:ascii="Times New Roman" w:hAnsi="Times New Roman"/>
          <w:b w:val="0"/>
          <w:color w:val="000000"/>
          <w:sz w:val="24"/>
        </w:rPr>
        <w:t>, 253(6), Article 119. https://doi.org/10.1007/s00425-021-03636-x</w:t>
      </w:r>
    </w:p>
    <w:p>
      <w:pPr>
        <w:spacing w:before="0" w:after="120" w:line="360" w:lineRule="auto"/>
        <w:ind w:left="720" w:hanging="720"/>
        <w:jc w:val="left"/>
      </w:pPr>
      <w:r>
        <w:rPr>
          <w:rFonts w:ascii="Times New Roman" w:hAnsi="Times New Roman"/>
          <w:b w:val="0"/>
          <w:color w:val="000000"/>
          <w:sz w:val="24"/>
        </w:rPr>
        <w:t xml:space="preserve">Miller, T., Mikiciuk, G., Durlik, I., Mikiciuk, M., Łobodzińska, A., &amp; Śnieg, M. (2025). The IoT and AI in agriculture: The time is now—A systematic review of smart sensing technologies. </w:t>
      </w:r>
      <w:r>
        <w:rPr>
          <w:rFonts w:ascii="Times New Roman" w:hAnsi="Times New Roman"/>
          <w:i/>
          <w:color w:val="000000"/>
          <w:sz w:val="24"/>
        </w:rPr>
        <w:t>Sensors</w:t>
      </w:r>
      <w:r>
        <w:rPr>
          <w:rFonts w:ascii="Times New Roman" w:hAnsi="Times New Roman"/>
          <w:b w:val="0"/>
          <w:color w:val="000000"/>
          <w:sz w:val="24"/>
        </w:rPr>
        <w:t>, 25(12), Article 3583. https://doi.org/10.3390/s25123583</w:t>
      </w:r>
    </w:p>
    <w:p>
      <w:pPr>
        <w:spacing w:before="0" w:after="120" w:line="360" w:lineRule="auto"/>
        <w:ind w:left="720" w:hanging="720"/>
        <w:jc w:val="left"/>
      </w:pPr>
      <w:r>
        <w:rPr>
          <w:rFonts w:ascii="Times New Roman" w:hAnsi="Times New Roman"/>
          <w:b w:val="0"/>
          <w:color w:val="000000"/>
          <w:sz w:val="24"/>
        </w:rPr>
        <w:t xml:space="preserve">Mohd Khalid, N. K., Jamal, N., Mustafa, F., Zambri, N. A., &amp; Abdullah, M. S. R. (2024). Solar power IoT based smart agriculture system using NodeMCU ESP32. </w:t>
      </w:r>
      <w:r>
        <w:rPr>
          <w:rFonts w:ascii="Times New Roman" w:hAnsi="Times New Roman"/>
          <w:i/>
          <w:color w:val="000000"/>
          <w:sz w:val="24"/>
        </w:rPr>
        <w:t>Progress in Engineering Application and Technology</w:t>
      </w:r>
      <w:r>
        <w:rPr>
          <w:rFonts w:ascii="Times New Roman" w:hAnsi="Times New Roman"/>
          <w:b w:val="0"/>
          <w:color w:val="000000"/>
          <w:sz w:val="24"/>
        </w:rPr>
        <w:t>, 5(1), 112–121.</w:t>
      </w:r>
    </w:p>
    <w:p>
      <w:pPr>
        <w:spacing w:before="0" w:after="120" w:line="360" w:lineRule="auto"/>
        <w:ind w:left="720" w:hanging="720"/>
        <w:jc w:val="left"/>
      </w:pPr>
      <w:r>
        <w:rPr>
          <w:rFonts w:ascii="Times New Roman" w:hAnsi="Times New Roman"/>
          <w:b w:val="0"/>
          <w:color w:val="000000"/>
          <w:sz w:val="24"/>
        </w:rPr>
        <w:t xml:space="preserve">Montzka, C., Cosh, M. H., Bayat, B., Al Bitar, A., Berg, A., Bindlish, R., Bogena, H. R., Bolton, J. D., Cabot, F., Caldwell, T., Chan, S., Colliander, A., Crow, W., Das, N., De Lannoy, G., Dorigo, W., Evett, S. R., Gruber, A., Hahn, S., ... Nickeson, J. (2020). </w:t>
      </w:r>
      <w:r>
        <w:rPr>
          <w:rFonts w:ascii="Times New Roman" w:hAnsi="Times New Roman"/>
          <w:i/>
          <w:color w:val="000000"/>
          <w:sz w:val="24"/>
        </w:rPr>
        <w:t>Soil moisture product validation good practices protocol</w:t>
      </w:r>
      <w:r>
        <w:rPr>
          <w:rFonts w:ascii="Times New Roman" w:hAnsi="Times New Roman"/>
          <w:b w:val="0"/>
          <w:color w:val="000000"/>
          <w:sz w:val="24"/>
        </w:rPr>
        <w:t xml:space="preserve"> (Version 1.0). Committee on Earth Observation Satellites (CEOS) / NASA. https://doi.org/10.5067/DOC/CEOSWGCV/LPV/SM.001</w:t>
      </w:r>
    </w:p>
    <w:p>
      <w:pPr>
        <w:spacing w:before="0" w:after="120" w:line="360" w:lineRule="auto"/>
        <w:ind w:left="720" w:hanging="720"/>
        <w:jc w:val="left"/>
      </w:pPr>
      <w:r>
        <w:rPr>
          <w:rFonts w:ascii="Times New Roman" w:hAnsi="Times New Roman"/>
          <w:b w:val="0"/>
          <w:color w:val="000000"/>
          <w:sz w:val="24"/>
        </w:rPr>
        <w:t xml:space="preserve">Ndjuluwa, L. N. P., Adebisi, J. A., &amp; Dayoub, M. (2023). Internet of Things for crop farming: A review of technologies and applications. </w:t>
      </w:r>
      <w:r>
        <w:rPr>
          <w:rFonts w:ascii="Times New Roman" w:hAnsi="Times New Roman"/>
          <w:i/>
          <w:color w:val="000000"/>
          <w:sz w:val="24"/>
        </w:rPr>
        <w:t>Commodities</w:t>
      </w:r>
      <w:r>
        <w:rPr>
          <w:rFonts w:ascii="Times New Roman" w:hAnsi="Times New Roman"/>
          <w:b w:val="0"/>
          <w:color w:val="000000"/>
          <w:sz w:val="24"/>
        </w:rPr>
        <w:t>, 2(4), 367–381. https://doi.org/10.3390/commodities2040021</w:t>
      </w:r>
    </w:p>
    <w:p>
      <w:pPr>
        <w:spacing w:before="0" w:after="120" w:line="360" w:lineRule="auto"/>
        <w:ind w:left="720" w:hanging="720"/>
        <w:jc w:val="left"/>
      </w:pPr>
      <w:r>
        <w:rPr>
          <w:rFonts w:ascii="Times New Roman" w:hAnsi="Times New Roman"/>
          <w:b w:val="0"/>
          <w:color w:val="000000"/>
          <w:sz w:val="24"/>
        </w:rPr>
        <w:t xml:space="preserve">Philippine Statistics Authority. (2026). </w:t>
      </w:r>
      <w:r>
        <w:rPr>
          <w:rFonts w:ascii="Times New Roman" w:hAnsi="Times New Roman"/>
          <w:i/>
          <w:color w:val="000000"/>
          <w:sz w:val="24"/>
        </w:rPr>
        <w:t>Major vegetables and root crops quarterly bulletin</w:t>
      </w:r>
      <w:r>
        <w:rPr>
          <w:rFonts w:ascii="Times New Roman" w:hAnsi="Times New Roman"/>
          <w:b w:val="0"/>
          <w:color w:val="000000"/>
          <w:sz w:val="24"/>
        </w:rPr>
        <w:t>. PSA Publications.</w:t>
      </w:r>
    </w:p>
    <w:p>
      <w:pPr>
        <w:spacing w:before="0" w:after="120" w:line="360" w:lineRule="auto"/>
        <w:ind w:left="720" w:hanging="720"/>
        <w:jc w:val="left"/>
      </w:pPr>
      <w:r>
        <w:rPr>
          <w:rFonts w:ascii="Times New Roman" w:hAnsi="Times New Roman"/>
          <w:b w:val="0"/>
          <w:color w:val="000000"/>
          <w:sz w:val="24"/>
        </w:rPr>
        <w:t xml:space="preserve">Rachakonda, L. (2022). ETS: A smart and enhanced topsoil health monitoring and control system at edge using IoT. In </w:t>
      </w:r>
      <w:r>
        <w:rPr>
          <w:rFonts w:ascii="Times New Roman" w:hAnsi="Times New Roman"/>
          <w:i/>
          <w:color w:val="000000"/>
          <w:sz w:val="24"/>
        </w:rPr>
        <w:t>2022 IEEE International Symposium on Smart Electronic Systems (iSES)</w:t>
      </w:r>
      <w:r>
        <w:rPr>
          <w:rFonts w:ascii="Times New Roman" w:hAnsi="Times New Roman"/>
          <w:b w:val="0"/>
          <w:color w:val="000000"/>
          <w:sz w:val="24"/>
        </w:rPr>
        <w:t xml:space="preserve"> (pp. 689–693). IEEE. https://doi.org/10.1109/ises54909.2022.00153</w:t>
      </w:r>
    </w:p>
    <w:p>
      <w:pPr>
        <w:spacing w:before="0" w:after="120" w:line="360" w:lineRule="auto"/>
        <w:ind w:left="720" w:hanging="720"/>
        <w:jc w:val="left"/>
      </w:pPr>
      <w:r>
        <w:rPr>
          <w:rFonts w:ascii="Times New Roman" w:hAnsi="Times New Roman"/>
          <w:b w:val="0"/>
          <w:color w:val="000000"/>
          <w:sz w:val="24"/>
        </w:rPr>
        <w:t xml:space="preserve">Rachakonda, L., &amp; Stasiewicz, S. (2024). SanaSolo 2.0: Edge-based monitoring and management of soil fertility using IoT. In </w:t>
      </w:r>
      <w:r>
        <w:rPr>
          <w:rFonts w:ascii="Times New Roman" w:hAnsi="Times New Roman"/>
          <w:i/>
          <w:color w:val="000000"/>
          <w:sz w:val="24"/>
        </w:rPr>
        <w:t>2024 IEEE Computer Society Annual Symposium on VLSI (ISVLSI)</w:t>
      </w:r>
      <w:r>
        <w:rPr>
          <w:rFonts w:ascii="Times New Roman" w:hAnsi="Times New Roman"/>
          <w:b w:val="0"/>
          <w:color w:val="000000"/>
          <w:sz w:val="24"/>
        </w:rPr>
        <w:t xml:space="preserve"> (pp. 1–6). IEEE. https://doi.org/10.1109/vlsi-soc62099.2024.10767818</w:t>
      </w:r>
    </w:p>
    <w:p>
      <w:pPr>
        <w:spacing w:before="0" w:after="120" w:line="360" w:lineRule="auto"/>
        <w:ind w:left="720" w:hanging="720"/>
        <w:jc w:val="left"/>
      </w:pPr>
      <w:r>
        <w:rPr>
          <w:rFonts w:ascii="Times New Roman" w:hAnsi="Times New Roman"/>
          <w:b w:val="0"/>
          <w:color w:val="000000"/>
          <w:sz w:val="24"/>
        </w:rPr>
        <w:t xml:space="preserve">Silva, P. H. R., Johnson-Silva, W., Albuquerque, G. M. R., Oliveira, V. L. B., Santos, L. V. S., &amp; Gonçalves, M. H. O. (2024). Exploring the competitive potential of </w:t>
      </w:r>
      <w:r>
        <w:rPr>
          <w:rFonts w:ascii="Times New Roman" w:hAnsi="Times New Roman"/>
          <w:i/>
          <w:color w:val="000000"/>
          <w:sz w:val="24"/>
        </w:rPr>
        <w:t>Ralstonia pseudosolanacearum</w:t>
      </w:r>
      <w:r>
        <w:rPr>
          <w:rFonts w:ascii="Times New Roman" w:hAnsi="Times New Roman"/>
          <w:b w:val="0"/>
          <w:color w:val="000000"/>
          <w:sz w:val="24"/>
        </w:rPr>
        <w:t xml:space="preserve"> and </w:t>
      </w:r>
      <w:r>
        <w:rPr>
          <w:rFonts w:ascii="Times New Roman" w:hAnsi="Times New Roman"/>
          <w:i/>
          <w:color w:val="000000"/>
          <w:sz w:val="24"/>
        </w:rPr>
        <w:t>Ralstonia solanacearum</w:t>
      </w:r>
      <w:r>
        <w:rPr>
          <w:rFonts w:ascii="Times New Roman" w:hAnsi="Times New Roman"/>
          <w:b w:val="0"/>
          <w:color w:val="000000"/>
          <w:sz w:val="24"/>
        </w:rPr>
        <w:t xml:space="preserve">: Insights from a comparative adaptability study. </w:t>
      </w:r>
      <w:r>
        <w:rPr>
          <w:rFonts w:ascii="Times New Roman" w:hAnsi="Times New Roman"/>
          <w:i/>
          <w:color w:val="000000"/>
          <w:sz w:val="24"/>
        </w:rPr>
        <w:t>Plant Pathology</w:t>
      </w:r>
      <w:r>
        <w:rPr>
          <w:rFonts w:ascii="Times New Roman" w:hAnsi="Times New Roman"/>
          <w:b w:val="0"/>
          <w:color w:val="000000"/>
          <w:sz w:val="24"/>
        </w:rPr>
        <w:t>, 73(4), 898–914. https://doi.org/10.1111/ppa.13848</w:t>
      </w:r>
    </w:p>
    <w:p>
      <w:pPr>
        <w:spacing w:before="0" w:after="120" w:line="360" w:lineRule="auto"/>
        <w:ind w:left="720" w:hanging="720"/>
        <w:jc w:val="left"/>
      </w:pPr>
      <w:r>
        <w:rPr>
          <w:rFonts w:ascii="Times New Roman" w:hAnsi="Times New Roman"/>
          <w:b w:val="0"/>
          <w:color w:val="000000"/>
          <w:sz w:val="24"/>
        </w:rPr>
        <w:t xml:space="preserve">Song, W., Li, X., Zhang, J., Huang, J., Wang, J., Feng, W., Guo, Y., &amp; Ren, L. (2026). Soil sensors in smart agriculture: Multi-type monitoring technologies and ecological development pathways. </w:t>
      </w:r>
      <w:r>
        <w:rPr>
          <w:rFonts w:ascii="Times New Roman" w:hAnsi="Times New Roman"/>
          <w:i/>
          <w:color w:val="000000"/>
          <w:sz w:val="24"/>
        </w:rPr>
        <w:t>Agriculture</w:t>
      </w:r>
      <w:r>
        <w:rPr>
          <w:rFonts w:ascii="Times New Roman" w:hAnsi="Times New Roman"/>
          <w:b w:val="0"/>
          <w:color w:val="000000"/>
          <w:sz w:val="24"/>
        </w:rPr>
        <w:t>, 16(3), Article 359. https://doi.org/10.3390/agriculture16030359</w:t>
      </w:r>
    </w:p>
    <w:p>
      <w:pPr>
        <w:spacing w:before="0" w:after="120" w:line="360" w:lineRule="auto"/>
        <w:ind w:left="720" w:hanging="720"/>
        <w:jc w:val="left"/>
      </w:pPr>
      <w:r>
        <w:rPr>
          <w:rFonts w:ascii="Times New Roman" w:hAnsi="Times New Roman"/>
          <w:b w:val="0"/>
          <w:color w:val="000000"/>
          <w:sz w:val="24"/>
        </w:rPr>
        <w:t xml:space="preserve">Songara, J. C., &amp; Patel, J. N. (2022). Calibration and comparison of various sensors for soil moisture measurement. </w:t>
      </w:r>
      <w:r>
        <w:rPr>
          <w:rFonts w:ascii="Times New Roman" w:hAnsi="Times New Roman"/>
          <w:i/>
          <w:color w:val="000000"/>
          <w:sz w:val="24"/>
        </w:rPr>
        <w:t>Measurement</w:t>
      </w:r>
      <w:r>
        <w:rPr>
          <w:rFonts w:ascii="Times New Roman" w:hAnsi="Times New Roman"/>
          <w:b w:val="0"/>
          <w:color w:val="000000"/>
          <w:sz w:val="24"/>
        </w:rPr>
        <w:t>, 197, Article 111301. https://doi.org/10.1016/j.measurement.2022.111301</w:t>
      </w:r>
    </w:p>
    <w:p>
      <w:pPr>
        <w:spacing w:before="0" w:after="120" w:line="360" w:lineRule="auto"/>
        <w:ind w:left="720" w:hanging="720"/>
        <w:jc w:val="left"/>
      </w:pPr>
      <w:r>
        <w:rPr>
          <w:rFonts w:ascii="Times New Roman" w:hAnsi="Times New Roman"/>
          <w:b w:val="0"/>
          <w:color w:val="000000"/>
          <w:sz w:val="24"/>
        </w:rPr>
        <w:t xml:space="preserve">Subedi, N., Cowell, T., Cope-Arguello, M., Paul, P., Cellier, G., Bkayrat, H., Bonagura, N., Cadatal, A., Chen, R., Enriquez, A., Parasar, R., Repetto, L., Hernandez Rivas, A., Shahbaz, M., White, K., Lowe-Power, T. M., &amp; Miller, S. A. (2024). Characterization of </w:t>
      </w:r>
      <w:r>
        <w:rPr>
          <w:rFonts w:ascii="Times New Roman" w:hAnsi="Times New Roman"/>
          <w:i/>
          <w:color w:val="000000"/>
          <w:sz w:val="24"/>
        </w:rPr>
        <w:t>Ralstonia pseudosolanacearum</w:t>
      </w:r>
      <w:r>
        <w:rPr>
          <w:rFonts w:ascii="Times New Roman" w:hAnsi="Times New Roman"/>
          <w:b w:val="0"/>
          <w:color w:val="000000"/>
          <w:sz w:val="24"/>
        </w:rPr>
        <w:t xml:space="preserve"> diversity and screening tomato, pepper, and eggplant resistance to manage bacterial wilt in South Asia. </w:t>
      </w:r>
      <w:r>
        <w:rPr>
          <w:rFonts w:ascii="Times New Roman" w:hAnsi="Times New Roman"/>
          <w:i/>
          <w:color w:val="000000"/>
          <w:sz w:val="24"/>
        </w:rPr>
        <w:t>PhytoFrontiers</w:t>
      </w:r>
      <w:r>
        <w:rPr>
          <w:rFonts w:ascii="Times New Roman" w:hAnsi="Times New Roman"/>
          <w:b w:val="0"/>
          <w:color w:val="000000"/>
          <w:sz w:val="24"/>
        </w:rPr>
        <w:t>, 4(2), 180–195. https://doi.org/10.1094/PHYTOFR-10-23-0136-R</w:t>
      </w:r>
    </w:p>
    <w:p>
      <w:pPr>
        <w:spacing w:before="0" w:after="120" w:line="360" w:lineRule="auto"/>
        <w:ind w:left="720" w:hanging="720"/>
        <w:jc w:val="left"/>
      </w:pPr>
      <w:r>
        <w:rPr>
          <w:rFonts w:ascii="Times New Roman" w:hAnsi="Times New Roman"/>
          <w:b w:val="0"/>
          <w:color w:val="000000"/>
          <w:sz w:val="24"/>
        </w:rPr>
        <w:t xml:space="preserve">Suryadevara, N. K., George, B., &amp; Kumar, K. (2022). Design and development of an IoT-enabled sensor node for agricultural and modelling applications. In </w:t>
      </w:r>
      <w:r>
        <w:rPr>
          <w:rFonts w:ascii="Times New Roman" w:hAnsi="Times New Roman"/>
          <w:i/>
          <w:color w:val="000000"/>
          <w:sz w:val="24"/>
        </w:rPr>
        <w:t>Sensing Technology: Proceedings of ICST 2022</w:t>
      </w:r>
      <w:r>
        <w:rPr>
          <w:rFonts w:ascii="Times New Roman" w:hAnsi="Times New Roman"/>
          <w:b w:val="0"/>
          <w:color w:val="000000"/>
          <w:sz w:val="24"/>
        </w:rPr>
        <w:t xml:space="preserve"> (pp. 215–228). Springer. https://doi.org/10.1007/978-3-031-29807-3_18</w:t>
      </w:r>
    </w:p>
    <w:p>
      <w:pPr>
        <w:spacing w:before="0" w:after="120" w:line="360" w:lineRule="auto"/>
        <w:ind w:left="720" w:hanging="720"/>
        <w:jc w:val="left"/>
      </w:pPr>
      <w:r>
        <w:rPr>
          <w:rFonts w:ascii="Times New Roman" w:hAnsi="Times New Roman"/>
          <w:b w:val="0"/>
          <w:color w:val="000000"/>
          <w:sz w:val="24"/>
        </w:rPr>
        <w:t xml:space="preserve">Tao, X., Butcher, J., Silvestri, S., &amp; Esposito, F. (2024). iCrop: Enabling high-precision crop disease detection via LoRa technology. In </w:t>
      </w:r>
      <w:r>
        <w:rPr>
          <w:rFonts w:ascii="Times New Roman" w:hAnsi="Times New Roman"/>
          <w:i/>
          <w:color w:val="000000"/>
          <w:sz w:val="24"/>
        </w:rPr>
        <w:t>2024 33rd International Conference on Computer Communications and Networks (ICCCN)</w:t>
      </w:r>
      <w:r>
        <w:rPr>
          <w:rFonts w:ascii="Times New Roman" w:hAnsi="Times New Roman"/>
          <w:b w:val="0"/>
          <w:color w:val="000000"/>
          <w:sz w:val="24"/>
        </w:rPr>
        <w:t xml:space="preserve"> (pp. 1–9). IEEE. https://doi.org/10.1109/icccn61486.2024.10637527</w:t>
      </w:r>
    </w:p>
    <w:p>
      <w:pPr>
        <w:spacing w:before="0" w:after="120" w:line="360" w:lineRule="auto"/>
        <w:ind w:left="720" w:hanging="720"/>
        <w:jc w:val="left"/>
      </w:pPr>
      <w:r>
        <w:rPr>
          <w:rFonts w:ascii="Times New Roman" w:hAnsi="Times New Roman"/>
          <w:b w:val="0"/>
          <w:color w:val="000000"/>
          <w:sz w:val="24"/>
        </w:rPr>
        <w:t xml:space="preserve">Turner, P. (2022, June 6). The value of user acceptance testing in mission-critical applications. </w:t>
      </w:r>
      <w:r>
        <w:rPr>
          <w:rFonts w:ascii="Times New Roman" w:hAnsi="Times New Roman"/>
          <w:i/>
          <w:color w:val="000000"/>
          <w:sz w:val="24"/>
        </w:rPr>
        <w:t>F2 Strategy Insights</w:t>
      </w:r>
      <w:r>
        <w:rPr>
          <w:rFonts w:ascii="Times New Roman" w:hAnsi="Times New Roman"/>
          <w:b w:val="0"/>
          <w:color w:val="000000"/>
          <w:sz w:val="24"/>
        </w:rPr>
        <w:t>. https://f2strategy.com/insight/value-of-user-acceptance-testing</w:t>
      </w:r>
    </w:p>
    <w:p>
      <w:pPr>
        <w:spacing w:before="0" w:after="120" w:line="360" w:lineRule="auto"/>
        <w:ind w:left="720" w:hanging="720"/>
        <w:jc w:val="left"/>
      </w:pPr>
      <w:r>
        <w:rPr>
          <w:rFonts w:ascii="Times New Roman" w:hAnsi="Times New Roman"/>
          <w:b w:val="0"/>
          <w:color w:val="000000"/>
          <w:sz w:val="24"/>
        </w:rPr>
        <w:t xml:space="preserve">University of Florida IFAS Extension. (n.d.). </w:t>
      </w:r>
      <w:r>
        <w:rPr>
          <w:rFonts w:ascii="Times New Roman" w:hAnsi="Times New Roman"/>
          <w:i/>
          <w:color w:val="000000"/>
          <w:sz w:val="24"/>
        </w:rPr>
        <w:t>Late blight on potato and tomato (Plant Pathology Fact Sheet PP-13)</w:t>
      </w:r>
      <w:r>
        <w:rPr>
          <w:rFonts w:ascii="Times New Roman" w:hAnsi="Times New Roman"/>
          <w:b w:val="0"/>
          <w:color w:val="000000"/>
          <w:sz w:val="24"/>
        </w:rPr>
        <w:t>. University of Florida.</w:t>
      </w:r>
    </w:p>
    <w:p>
      <w:pPr>
        <w:spacing w:before="0" w:after="120" w:line="360" w:lineRule="auto"/>
        <w:ind w:left="720" w:hanging="720"/>
        <w:jc w:val="left"/>
      </w:pPr>
      <w:r>
        <w:rPr>
          <w:rFonts w:ascii="Times New Roman" w:hAnsi="Times New Roman"/>
          <w:b w:val="0"/>
          <w:color w:val="000000"/>
          <w:sz w:val="24"/>
        </w:rPr>
        <w:t xml:space="preserve">Yesankar, P. R., Bandre, P., Verma, P., Gudadhe, A. G., Gourshettiwar, P., &amp; Puri, C. (2024). A review on the role of IoT in smart agriculture with reference to efficiency, sustainability and precision farming. In </w:t>
      </w:r>
      <w:r>
        <w:rPr>
          <w:rFonts w:ascii="Times New Roman" w:hAnsi="Times New Roman"/>
          <w:i/>
          <w:color w:val="000000"/>
          <w:sz w:val="24"/>
        </w:rPr>
        <w:t>2024 International Conference on Emerging Smart Computing and Informatics (ESCI)</w:t>
      </w:r>
      <w:r>
        <w:rPr>
          <w:rFonts w:ascii="Times New Roman" w:hAnsi="Times New Roman"/>
          <w:b w:val="0"/>
          <w:color w:val="000000"/>
          <w:sz w:val="24"/>
        </w:rPr>
        <w:t xml:space="preserve"> (pp. 533–537). IEEE. https://doi.org/10.1109/icesc60852.2024.10689999</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