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r>
        <w:rPr>
          <w:rFonts w:ascii="Arial" w:cs="Arial" w:eastAsia="Arial" w:hAnsi="Arial"/>
          <w:b/>
          <w:bCs/>
          <w:color w:val="0B4A75"/>
          <w:sz w:val="20"/>
          <w:szCs w:val="20"/>
        </w:rPr>
        <w:t xml:space="preserve">RAPPORT DE SUIVI PMO</w:t>
      </w:r>
    </w:p>
    <w:p>
      <w:pPr>
        <w:spacing w:after="200"/>
      </w:pPr>
      <w:r>
        <w:rPr>
          <w:rFonts w:ascii="Arial" w:cs="Arial" w:eastAsia="Arial" w:hAnsi="Arial"/>
          <w:b/>
          <w:bCs/>
          <w:color w:val="0F172A"/>
          <w:sz w:val="44"/>
          <w:szCs w:val="44"/>
        </w:rPr>
        <w:t xml:space="preserve">Migration Splunk → Google Chronicle &amp; Dynatrace</w:t>
      </w:r>
    </w:p>
    <w:p>
      <w:pPr>
        <w:spacing w:after="600"/>
      </w:pPr>
      <w:r>
        <w:rPr>
          <w:rFonts w:ascii="Arial" w:cs="Arial" w:eastAsia="Arial" w:hAnsi="Arial"/>
          <w:color w:val="475569"/>
          <w:sz w:val="24"/>
          <w:szCs w:val="24"/>
        </w:rPr>
        <w:t xml:space="preserve">Architecture cible, planning macro et micro, RACI, RAID Log — décommissionnement de Splunk visé sous 2 mois.</w:t>
      </w:r>
    </w:p>
    <w:p>
      <w:pPr>
        <w:spacing w:after="160"/>
      </w:pPr>
      <w:r>
        <w:rPr>
          <w:rFonts w:ascii="Arial" w:cs="Arial" w:eastAsia="Arial" w:hAnsi="Arial"/>
          <w:b/>
          <w:bCs/>
          <w:color w:val="1E293B"/>
          <w:sz w:val="21"/>
          <w:szCs w:val="21"/>
        </w:rPr>
        <w:t xml:space="preserve">Date : </w:t>
      </w:r>
      <w:r>
        <w:rPr>
          <w:rFonts w:ascii="Arial" w:cs="Arial" w:eastAsia="Arial" w:hAnsi="Arial"/>
          <w:b w:val="false"/>
          <w:bCs w:val="false"/>
          <w:color w:val="1E293B"/>
          <w:sz w:val="21"/>
          <w:szCs w:val="21"/>
        </w:rPr>
        <w:t xml:space="preserve">15 septembre 2026</w:t>
      </w:r>
    </w:p>
    <w:p>
      <w:pPr>
        <w:spacing w:after="160"/>
      </w:pPr>
      <w:r>
        <w:rPr>
          <w:rFonts w:ascii="Arial" w:cs="Arial" w:eastAsia="Arial" w:hAnsi="Arial"/>
          <w:b/>
          <w:bCs/>
          <w:color w:val="1E293B"/>
          <w:sz w:val="21"/>
          <w:szCs w:val="21"/>
        </w:rPr>
        <w:t xml:space="preserve">Version : </w:t>
      </w:r>
      <w:r>
        <w:rPr>
          <w:rFonts w:ascii="Arial" w:cs="Arial" w:eastAsia="Arial" w:hAnsi="Arial"/>
          <w:b w:val="false"/>
          <w:bCs w:val="false"/>
          <w:color w:val="1E293B"/>
          <w:sz w:val="21"/>
          <w:szCs w:val="21"/>
        </w:rPr>
        <w:t xml:space="preserve">1.1 — mise à jour archivage S3 direct &amp; OneAgent par service</w:t>
      </w:r>
    </w:p>
    <w:p>
      <w:pPr>
        <w:spacing w:after="160"/>
      </w:pPr>
      <w:r>
        <w:rPr>
          <w:rFonts w:ascii="Arial" w:cs="Arial" w:eastAsia="Arial" w:hAnsi="Arial"/>
          <w:b/>
          <w:bCs/>
          <w:color w:val="1E293B"/>
          <w:sz w:val="21"/>
          <w:szCs w:val="21"/>
        </w:rPr>
        <w:t xml:space="preserve">Fichier compagnon : </w:t>
      </w:r>
      <w:r>
        <w:rPr>
          <w:rFonts w:ascii="Arial" w:cs="Arial" w:eastAsia="Arial" w:hAnsi="Arial"/>
          <w:b w:val="false"/>
          <w:bCs w:val="false"/>
          <w:color w:val="1E293B"/>
          <w:sz w:val="21"/>
          <w:szCs w:val="21"/>
        </w:rPr>
        <w:t xml:space="preserve">pmo-suivi-migration-chronicle-dynatrace.xlsx</w:t>
      </w:r>
    </w:p>
    <w:p>
      <w:r>
        <w:br w:type="page"/>
      </w:r>
    </w:p>
    <w:p>
      <w:pPr>
        <w:pStyle w:val="Heading1"/>
        <w:spacing w:after="160" w:before="200"/>
      </w:pPr>
      <w:r>
        <w:rPr>
          <w:rFonts w:ascii="Arial" w:cs="Arial" w:eastAsia="Arial" w:hAnsi="Arial"/>
          <w:b/>
          <w:bCs/>
          <w:color w:val="0B4A75"/>
        </w:rPr>
        <w:t xml:space="preserve">1. Résumé exécutif</w:t>
      </w:r>
    </w:p>
    <w:p>
      <w:pPr>
        <w:spacing w:after="160"/>
      </w:pPr>
      <w:r>
        <w:rPr>
          <w:rFonts w:ascii="Arial" w:cs="Arial" w:eastAsia="Arial" w:hAnsi="Arial"/>
          <w:b w:val="false"/>
          <w:bCs w:val="false"/>
          <w:color w:val="1E293B"/>
          <w:sz w:val="21"/>
          <w:szCs w:val="21"/>
        </w:rPr>
        <w:t xml:space="preserve">Splunk sera remplacé par deux plateformes cibles : Google Chronicle pour les logs de sécurité (SIEM), et Dynatrace pour les dashboards et l'observabilité applicative/infrastructure. Trois chantiers techniques sont menés en parallèle :</w:t>
      </w:r>
    </w:p>
    <w:p>
      <w:pPr>
        <w:pStyle w:val="ListParagraph"/>
        <w:numPr>
          <w:ilvl w:val="0"/>
          <w:numId w:val="2"/>
        </w:numPr>
        <w:spacing w:after="90"/>
      </w:pPr>
      <w:r>
        <w:rPr>
          <w:rFonts w:ascii="Arial" w:cs="Arial" w:eastAsia="Arial" w:hAnsi="Arial"/>
          <w:b/>
          <w:bCs/>
          <w:color w:val="1E293B"/>
          <w:sz w:val="21"/>
          <w:szCs w:val="21"/>
        </w:rPr>
        <w:t xml:space="preserve">AWS / CloudWatch : </w:t>
      </w:r>
      <w:r>
        <w:rPr>
          <w:rFonts w:ascii="Arial" w:cs="Arial" w:eastAsia="Arial" w:hAnsi="Arial"/>
          <w:color w:val="1E293B"/>
          <w:sz w:val="21"/>
          <w:szCs w:val="21"/>
        </w:rPr>
        <w:t xml:space="preserve">collecte Linux &amp; Windows via l'agent CloudWatch, ingestion dans Chronicle via son Native Feed (AssumeRole, pull HTTPS), et export direct vers Amazon S3 pour l'archivage légal.</w:t>
      </w:r>
    </w:p>
    <w:p>
      <w:pPr>
        <w:pStyle w:val="ListParagraph"/>
        <w:numPr>
          <w:ilvl w:val="0"/>
          <w:numId w:val="2"/>
        </w:numPr>
        <w:spacing w:after="90"/>
      </w:pPr>
      <w:r>
        <w:rPr>
          <w:rFonts w:ascii="Arial" w:cs="Arial" w:eastAsia="Arial" w:hAnsi="Arial"/>
          <w:b/>
          <w:bCs/>
          <w:color w:val="1E293B"/>
          <w:sz w:val="21"/>
          <w:szCs w:val="21"/>
        </w:rPr>
        <w:t xml:space="preserve">AIX / rsyslog : </w:t>
      </w:r>
      <w:r>
        <w:rPr>
          <w:rFonts w:ascii="Arial" w:cs="Arial" w:eastAsia="Arial" w:hAnsi="Arial"/>
          <w:color w:val="1E293B"/>
          <w:sz w:val="21"/>
          <w:szCs w:val="21"/>
        </w:rPr>
        <w:t xml:space="preserve">les serveurs AIX transmettent en syslog (port 514) vers un Chronicle Forwarder (VM Linux dédiée), qui relaie vers Chronicle et exporte aussi directement vers le même bucket S3.</w:t>
      </w:r>
    </w:p>
    <w:p>
      <w:pPr>
        <w:pStyle w:val="ListParagraph"/>
        <w:numPr>
          <w:ilvl w:val="0"/>
          <w:numId w:val="2"/>
        </w:numPr>
        <w:spacing w:after="90"/>
      </w:pPr>
      <w:r>
        <w:rPr>
          <w:rFonts w:ascii="Arial" w:cs="Arial" w:eastAsia="Arial" w:hAnsi="Arial"/>
          <w:b/>
          <w:bCs/>
          <w:color w:val="1E293B"/>
          <w:sz w:val="21"/>
          <w:szCs w:val="21"/>
        </w:rPr>
        <w:t xml:space="preserve">Dynatrace : </w:t>
      </w:r>
      <w:r>
        <w:rPr>
          <w:rFonts w:ascii="Arial" w:cs="Arial" w:eastAsia="Arial" w:hAnsi="Arial"/>
          <w:color w:val="1E293B"/>
          <w:sz w:val="21"/>
          <w:szCs w:val="21"/>
        </w:rPr>
        <w:t xml:space="preserve">migration des dashboards Splunk (pilotée par David) et déploiement de OneAgent installé par service (granularité applicative) pour les logs applicatifs/infra.</w:t>
      </w:r>
    </w:p>
    <w:p>
      <w:pPr>
        <w:pBdr>
          <w:top w:val="single" w:color="B91C1C" w:sz="8"/>
          <w:bottom w:val="single" w:color="B91C1C" w:sz="8"/>
          <w:left w:val="single" w:color="B91C1C" w:sz="8"/>
          <w:right w:val="single" w:color="B91C1C" w:sz="8"/>
        </w:pBdr>
        <w:shd w:fill="FEF2F2" w:val="clear"/>
        <w:spacing w:after="200" w:before="120"/>
        <w:ind w:left="120" w:right="120"/>
      </w:pPr>
      <w:r>
        <w:rPr>
          <w:rFonts w:ascii="Arial" w:cs="Arial" w:eastAsia="Arial" w:hAnsi="Arial"/>
          <w:b/>
          <w:bCs/>
          <w:color w:val="991B1B"/>
          <w:sz w:val="20"/>
          <w:szCs w:val="20"/>
        </w:rPr>
        <w:t xml:space="preserve">Point critique déjà traité :</w:t>
      </w:r>
      <w:r>
        <w:br/>
        <w:t xml:space="preserve"/>
      </w:r>
      <w:r>
        <w:rPr>
          <w:rFonts w:ascii="Arial" w:cs="Arial" w:eastAsia="Arial" w:hAnsi="Arial"/>
          <w:color w:val="991B1B"/>
          <w:sz w:val="20"/>
          <w:szCs w:val="20"/>
        </w:rPr>
        <w:t xml:space="preserve">Une première tentative d'installation du binaire Chronicle Forwarder directement sur les serveurs AIX a échoué : la version d'AIX en place ne supporte pas ce binaire.</w:t>
      </w:r>
      <w:r>
        <w:br/>
        <w:t xml:space="preserve"/>
      </w:r>
      <w:r>
        <w:rPr>
          <w:rFonts w:ascii="Arial" w:cs="Arial" w:eastAsia="Arial" w:hAnsi="Arial"/>
          <w:color w:val="991B1B"/>
          <w:sz w:val="20"/>
          <w:szCs w:val="20"/>
        </w:rPr>
        <w:t xml:space="preserve">Décision : aucun agent installé sur AIX ; relais syslog natif uniquement vers une VM Forwarder Linux dédiée.</w:t>
      </w:r>
    </w:p>
    <w:p>
      <w:pPr>
        <w:pBdr>
          <w:top w:val="single" w:color="5B21B6" w:sz="8"/>
          <w:bottom w:val="single" w:color="5B21B6" w:sz="8"/>
          <w:left w:val="single" w:color="5B21B6" w:sz="8"/>
          <w:right w:val="single" w:color="5B21B6" w:sz="8"/>
        </w:pBdr>
        <w:shd w:fill="FAF5FF" w:val="clear"/>
        <w:spacing w:after="200" w:before="120"/>
        <w:ind w:left="120" w:right="120"/>
      </w:pPr>
      <w:r>
        <w:rPr>
          <w:rFonts w:ascii="Arial" w:cs="Arial" w:eastAsia="Arial" w:hAnsi="Arial"/>
          <w:b/>
          <w:bCs/>
          <w:color w:val="5B21B6"/>
          <w:sz w:val="20"/>
          <w:szCs w:val="20"/>
        </w:rPr>
        <w:t xml:space="preserve">Point de décision à venir :</w:t>
      </w:r>
      <w:r>
        <w:br/>
        <w:t xml:space="preserve"/>
      </w:r>
      <w:r>
        <w:rPr>
          <w:rFonts w:ascii="Arial" w:cs="Arial" w:eastAsia="Arial" w:hAnsi="Arial"/>
          <w:color w:val="5B21B6"/>
          <w:sz w:val="20"/>
          <w:szCs w:val="20"/>
        </w:rPr>
        <w:t xml:space="preserve">Le résultat de la migration des dashboards Dynatrace (David) est attendu le vendredi 18 septembre 2026.</w:t>
      </w:r>
      <w:r>
        <w:br/>
        <w:t xml:space="preserve"/>
      </w:r>
      <w:r>
        <w:rPr>
          <w:rFonts w:ascii="Arial" w:cs="Arial" w:eastAsia="Arial" w:hAnsi="Arial"/>
          <w:color w:val="5B21B6"/>
          <w:sz w:val="20"/>
          <w:szCs w:val="20"/>
        </w:rPr>
        <w:t xml:space="preserve">Il conditionne la décision Go/No-Go sur la généralisation du déploiement OneAgent (tâche 6.1).</w:t>
      </w:r>
    </w:p>
    <w:p>
      <w:pPr>
        <w:pBdr>
          <w:top w:val="single" w:color="1A7F37" w:sz="8"/>
          <w:bottom w:val="single" w:color="1A7F37" w:sz="8"/>
          <w:left w:val="single" w:color="1A7F37" w:sz="8"/>
          <w:right w:val="single" w:color="1A7F37" w:sz="8"/>
        </w:pBdr>
        <w:shd w:fill="E8F8EE" w:val="clear"/>
        <w:spacing w:after="200" w:before="120"/>
        <w:ind w:left="120" w:right="120"/>
      </w:pPr>
      <w:r>
        <w:rPr>
          <w:rFonts w:ascii="Arial" w:cs="Arial" w:eastAsia="Arial" w:hAnsi="Arial"/>
          <w:b/>
          <w:bCs/>
          <w:color w:val="0F5C27"/>
          <w:sz w:val="20"/>
          <w:szCs w:val="20"/>
        </w:rPr>
        <w:t xml:space="preserve">Confirmation d'architecture :</w:t>
      </w:r>
      <w:r>
        <w:br/>
        <w:t xml:space="preserve"/>
      </w:r>
      <w:r>
        <w:rPr>
          <w:rFonts w:ascii="Arial" w:cs="Arial" w:eastAsia="Arial" w:hAnsi="Arial"/>
          <w:color w:val="0F5C27"/>
          <w:sz w:val="20"/>
          <w:szCs w:val="20"/>
        </w:rPr>
        <w:t xml:space="preserve">Les deux flux sécurité (CloudWatch pour Linux/Windows, rsyslog pour AIX) écrivent directement dans le même bucket Amazon S3, avec des préfixes distincts par OS.</w:t>
      </w:r>
      <w:r>
        <w:br/>
        <w:t xml:space="preserve"/>
      </w:r>
      <w:r>
        <w:rPr>
          <w:rFonts w:ascii="Arial" w:cs="Arial" w:eastAsia="Arial" w:hAnsi="Arial"/>
          <w:color w:val="0F5C27"/>
          <w:sz w:val="20"/>
          <w:szCs w:val="20"/>
        </w:rPr>
        <w:t xml:space="preserve">Ce flux d'archivage est indépendant de Chronicle et de Dynatrace.</w:t>
      </w:r>
    </w:p>
    <w:p>
      <w:r>
        <w:br w:type="page"/>
      </w:r>
    </w:p>
    <w:p>
      <w:pPr>
        <w:pStyle w:val="Heading1"/>
        <w:spacing w:after="160" w:before="200"/>
      </w:pPr>
      <w:r>
        <w:rPr>
          <w:rFonts w:ascii="Arial" w:cs="Arial" w:eastAsia="Arial" w:hAnsi="Arial"/>
          <w:b/>
          <w:bCs/>
          <w:color w:val="0B4A75"/>
        </w:rPr>
        <w:t xml:space="preserve">2. Architecture cible</w:t>
      </w:r>
    </w:p>
    <w:p>
      <w:pPr>
        <w:spacing w:after="2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486150"/>
                    </a:xfrm>
                    <a:prstGeom prst="rect">
                      <a:avLst/>
                    </a:prstGeom>
                  </pic:spPr>
                </pic:pic>
              </a:graphicData>
            </a:graphic>
          </wp:inline>
        </w:drawing>
      </w:r>
    </w:p>
    <w:p>
      <w:pPr>
        <w:spacing w:after="160"/>
      </w:pPr>
      <w:r>
        <w:rPr>
          <w:rFonts w:ascii="Arial" w:cs="Arial" w:eastAsia="Arial" w:hAnsi="Arial"/>
          <w:b w:val="false"/>
          <w:bCs w:val="false"/>
          <w:color w:val="64748B"/>
          <w:sz w:val="18"/>
          <w:szCs w:val="18"/>
        </w:rPr>
        <w:t xml:space="preserve">Détail technique complet de chaque flux : voir les architectures dédiées « CloudWatch Linux/Windows » et « rsyslog AIX ».</w:t>
      </w:r>
    </w:p>
    <w:p>
      <w:pPr>
        <w:pStyle w:val="Heading2"/>
        <w:spacing w:after="120" w:before="200"/>
      </w:pPr>
      <w:r>
        <w:rPr>
          <w:rFonts w:ascii="Arial" w:cs="Arial" w:eastAsia="Arial" w:hAnsi="Arial"/>
          <w:b/>
          <w:bCs/>
          <w:color w:val="334155"/>
        </w:rPr>
        <w:t xml:space="preserve">2.1 Flux AWS — CloudWatch → Chronicle Native Feed</w:t>
      </w:r>
    </w:p>
    <w:p>
      <w:pPr>
        <w:spacing w:after="160"/>
      </w:pPr>
      <w:r>
        <w:rPr>
          <w:rFonts w:ascii="Arial" w:cs="Arial" w:eastAsia="Arial" w:hAnsi="Arial"/>
          <w:b w:val="false"/>
          <w:bCs w:val="false"/>
          <w:color w:val="1E293B"/>
          <w:sz w:val="21"/>
          <w:szCs w:val="21"/>
        </w:rPr>
        <w:t xml:space="preserve">Le CloudWatch Agent collecte les logs de sécurité sur les instances EC2 Linux et Windows et les envoie vers des CloudWatch Log Groups dédiés. Chronicle interroge ensuite directement ces Log Groups via un feed natif : un rôle IAM est créé côté AWS avec une politique de confiance autorisant le compte de service Chronicle à l'assumer (AssumeRole), et Chronicle vient périodiquement tirer (pull) les nouveaux évènements en HTTPS. En parallèle, ces mêmes Log Groups exportent directement vers Amazon S3 pour l'archivage légal immuable des logs Linux/Windows, indépendamment du SIEM.</w:t>
      </w:r>
    </w:p>
    <w:p>
      <w:pPr>
        <w:pStyle w:val="Heading2"/>
        <w:spacing w:after="120" w:before="200"/>
      </w:pPr>
      <w:r>
        <w:rPr>
          <w:rFonts w:ascii="Arial" w:cs="Arial" w:eastAsia="Arial" w:hAnsi="Arial"/>
          <w:b/>
          <w:bCs/>
          <w:color w:val="334155"/>
        </w:rPr>
        <w:t xml:space="preserve">2.2 Flux AIX — rsyslog → Chronicle Forwarder</w:t>
      </w:r>
    </w:p>
    <w:p>
      <w:pPr>
        <w:spacing w:after="160"/>
      </w:pPr>
      <w:r>
        <w:rPr>
          <w:rFonts w:ascii="Arial" w:cs="Arial" w:eastAsia="Arial" w:hAnsi="Arial"/>
          <w:b w:val="false"/>
          <w:bCs w:val="false"/>
          <w:color w:val="1E293B"/>
          <w:sz w:val="21"/>
          <w:szCs w:val="21"/>
        </w:rPr>
        <w:t xml:space="preserve">Les serveurs AIX transmettent leurs évènements de sécurité via syslogd natif (port 514) vers un Chronicle Forwarder, une VM Linux dédiée (déployée en haute disponibilité). Le Forwarder reçoit le flux syslog, le met en forme, puis le transmet en HTTPS vers l'API d'ingestion Chronicle. Ce même relais rsyslog alimente aussi directement Amazon S3 pour l'archivage légal des logs AIX — les deux flux (CloudWatch et rsyslog) écrivent dans le même bucket S3, avec des préfixes distincts par OS.</w:t>
      </w:r>
    </w:p>
    <w:p>
      <w:pPr>
        <w:pStyle w:val="Heading2"/>
        <w:spacing w:after="120" w:before="200"/>
      </w:pPr>
      <w:r>
        <w:rPr>
          <w:rFonts w:ascii="Arial" w:cs="Arial" w:eastAsia="Arial" w:hAnsi="Arial"/>
          <w:b/>
          <w:bCs/>
          <w:color w:val="334155"/>
        </w:rPr>
        <w:t xml:space="preserve">2.3 Flux Dynatrace — OneAgent</w:t>
      </w:r>
    </w:p>
    <w:p>
      <w:pPr>
        <w:spacing w:after="160"/>
      </w:pPr>
      <w:r>
        <w:rPr>
          <w:rFonts w:ascii="Arial" w:cs="Arial" w:eastAsia="Arial" w:hAnsi="Arial"/>
          <w:b w:val="false"/>
          <w:bCs w:val="false"/>
          <w:color w:val="1E293B"/>
          <w:sz w:val="21"/>
          <w:szCs w:val="21"/>
        </w:rPr>
        <w:t xml:space="preserve">En parallèle du volet sécurité, les logs applicatifs et d'infrastructure qui ne relèvent pas du périmètre SIEM sont pris en charge par Dynatrace OneAgent, installé par service (granularité applicative, et non simplement par hôte) sur les serveurs Linux et Windows. Les dashboards existants sous Splunk sont recréés dans Dynatrace par David. Ce flux reste distinct de l'archivage S3 : les logs collectés par OneAgent restent dans Dynatrace et ne transitent pas par S3.</w:t>
      </w:r>
    </w:p>
    <w:p>
      <w:r>
        <w:br w:type="page"/>
      </w:r>
    </w:p>
    <w:p>
      <w:pPr>
        <w:pStyle w:val="Heading1"/>
        <w:spacing w:after="160" w:before="200"/>
      </w:pPr>
      <w:r>
        <w:rPr>
          <w:rFonts w:ascii="Arial" w:cs="Arial" w:eastAsia="Arial" w:hAnsi="Arial"/>
          <w:b/>
          <w:bCs/>
          <w:color w:val="0B4A75"/>
        </w:rPr>
        <w:t xml:space="preserve">3. Planning macro</w:t>
      </w:r>
    </w:p>
    <w:p>
      <w:pPr>
        <w:spacing w:after="2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86150"/>
                    </a:xfrm>
                    <a:prstGeom prst="rect">
                      <a:avLst/>
                    </a:prstGeom>
                  </pic:spPr>
                </pic:pic>
              </a:graphicData>
            </a:graphic>
          </wp:inline>
        </w:drawing>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200"/>
        <w:gridCol w:w="1100"/>
        <w:gridCol w:w="1100"/>
        <w:gridCol w:w="1700"/>
      </w:tblGrid>
      <w:tr>
        <w:trPr>
          <w:tblHeader/>
        </w:trPr>
        <w:tc>
          <w:tcPr>
            <w:tcW w:type="dxa" w:w="5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t>
            </w:r>
          </w:p>
        </w:tc>
        <w:tc>
          <w:tcPr>
            <w:tcW w:type="dxa" w:w="14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Chantier</w:t>
            </w:r>
          </w:p>
        </w:tc>
        <w:tc>
          <w:tcPr>
            <w:tcW w:type="dxa" w:w="42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Phase</w:t>
            </w:r>
          </w:p>
        </w:tc>
        <w:tc>
          <w:tcPr>
            <w:tcW w:type="dxa" w:w="11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Début</w:t>
            </w:r>
          </w:p>
        </w:tc>
        <w:tc>
          <w:tcPr>
            <w:tcW w:type="dxa" w:w="11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Fin</w:t>
            </w:r>
          </w:p>
        </w:tc>
        <w:tc>
          <w:tcPr>
            <w:tcW w:type="dxa" w:w="17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Statut</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Cadrage &amp; validation architecture</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15/09</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18/09</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En cours</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Pilote CloudWatch Linux/Windows</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21/09</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25/09</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Pivot &amp; pilote rsyslog → Forwarder AIX (urgent)</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21/09</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02/10</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Urgent</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4</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Généralisation CloudWatch + Chronicle Native Feed</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28/09</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09/10</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5</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Généralisation rsyslog AIX → Forwarder</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05/10</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16/10</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6</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Dynatrace</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Migration logs/dashboards → Dynatrace (OneAgent)</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21/09</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23/10</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Attente checkpoint 18/09</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7</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Validation</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Double run &amp; validation de parité</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19/10</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30/10</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8</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Bascule finale &amp; arrêt progressif Splunk</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02/11</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06/11</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9</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Décommissionnement complet Splunk (J+60)</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09/11</w:t>
            </w:r>
          </w:p>
        </w:tc>
        <w:tc>
          <w:tcPr>
            <w:tcW w:type="dxa" w:w="11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13/11</w:t>
            </w:r>
          </w:p>
        </w:tc>
        <w:tc>
          <w:tcPr>
            <w:tcW w:type="dxa" w:w="1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Jalon final</w:t>
            </w:r>
          </w:p>
        </w:tc>
      </w:tr>
    </w:tbl>
    <w:p>
      <w:pPr>
        <w:spacing w:after="160" w:before="160"/>
      </w:pPr>
      <w:r>
        <w:rPr>
          <w:rFonts w:ascii="Arial" w:cs="Arial" w:eastAsia="Arial" w:hAnsi="Arial"/>
          <w:b w:val="false"/>
          <w:bCs w:val="false"/>
          <w:color w:val="64748B"/>
          <w:sz w:val="18"/>
          <w:szCs w:val="18"/>
        </w:rPr>
        <w:t xml:space="preserve">Détail jour par jour et dépendances : voir le classeur Excel PMO, feuille « Planning Macro ».</w:t>
      </w:r>
    </w:p>
    <w:p>
      <w:r>
        <w:br w:type="page"/>
      </w:r>
    </w:p>
    <w:p>
      <w:pPr>
        <w:pStyle w:val="Heading1"/>
        <w:spacing w:after="160" w:before="200"/>
      </w:pPr>
      <w:r>
        <w:rPr>
          <w:rFonts w:ascii="Arial" w:cs="Arial" w:eastAsia="Arial" w:hAnsi="Arial"/>
          <w:b/>
          <w:bCs/>
          <w:color w:val="0B4A75"/>
        </w:rPr>
        <w:t xml:space="preserve">4. Planning micro — détail des tâches</w:t>
      </w:r>
    </w:p>
    <w:p>
      <w:pPr>
        <w:spacing w:after="160"/>
      </w:pPr>
      <w:r>
        <w:rPr>
          <w:rFonts w:ascii="Arial" w:cs="Arial" w:eastAsia="Arial" w:hAnsi="Arial"/>
          <w:b w:val="false"/>
          <w:bCs w:val="false"/>
          <w:color w:val="1E293B"/>
          <w:sz w:val="21"/>
          <w:szCs w:val="21"/>
        </w:rPr>
        <w:t xml:space="preserve">35 tâches détaillées, réparties par chantier, avec owner, période et statut. Dépendances et % d'avancement : voir le classeur Excel PMO, feuille « Planning Micro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1050"/>
        <w:gridCol w:w="3950"/>
        <w:gridCol w:w="1800"/>
        <w:gridCol w:w="1050"/>
        <w:gridCol w:w="900"/>
      </w:tblGrid>
      <w:tr>
        <w:trPr>
          <w:tblHeader/>
        </w:trPr>
        <w:tc>
          <w:tcPr>
            <w:tcW w:type="dxa" w:w="6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ID</w:t>
            </w:r>
          </w:p>
        </w:tc>
        <w:tc>
          <w:tcPr>
            <w:tcW w:type="dxa" w:w="105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Chantier</w:t>
            </w:r>
          </w:p>
        </w:tc>
        <w:tc>
          <w:tcPr>
            <w:tcW w:type="dxa" w:w="395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Tâche</w:t>
            </w:r>
          </w:p>
        </w:tc>
        <w:tc>
          <w:tcPr>
            <w:tcW w:type="dxa" w:w="18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Owner</w:t>
            </w:r>
          </w:p>
        </w:tc>
        <w:tc>
          <w:tcPr>
            <w:tcW w:type="dxa" w:w="105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Période</w:t>
            </w:r>
          </w:p>
        </w:tc>
        <w:tc>
          <w:tcPr>
            <w:tcW w:type="dxa" w:w="9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Statut</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Inventaire des sources Linux/Windows actuellement indexées dans Splunk</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15–16/09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Création du rôle IAM + politique de confiance pour Chronicle Native Feed (AssumeRole)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16–17/09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1.3</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Mise en place des CloudWatch Log Groups (KMS, rétention)</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17–18/09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Déploiement CloudWatch Agent sur périmètre pilote (10-20 serveurs)</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21–23/09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Configuration du Chronicle Native Feed (type Amazon CloudWatch, AssumeRole)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22–23/09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2.3</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Validation de la complétude des logs reçus (Chronicle vs Splunk)</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24–25/09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3.0</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Analyse post-mortem : échec du binaire Forwarder sur AIX</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AIX/Unix</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15–16/09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Fait</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Déploiement de 2 VM Linux dédiées « Chronicle Forwarder » (HA)</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21–23/09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Configuration syslogd sur 5-10 serveurs AIX pilotes (port 514)</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AIX/Unix</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24–25/09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3.3</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Configuration du Forwarder (parsing + envoi HTTPS vers Chronicle)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24–25/09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3.4</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Test de bascule HA du Forwarder + validation réception Chronicle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28–30/09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3.5</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Validation de la préservation de l'horodatage d'origine AIX</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AIX/Unix</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01–02/10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4.1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Déploiement CloudWatch Agent à l'échelle (SSM/GPO/SCCM)</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28/09–07/10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4.2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Élargissement du Chronicle Native Feed à tous les Log Groups</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05–08/10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4.3</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AWS</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Mise en place des alarmes de supervision (agents hors ligne, feed en échec)</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08–09/10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5.1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Bascule progressive de l'ensemble du parc AIX vers le Forwarder</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AIX/Unix</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05–13/10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5.2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AIX</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Supervision du volume reçu par hôte AIX (détection sources mal configurées)</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12–16/10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6.0</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Dynatrace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Réception et revue du résultat de migration des dashboards</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David (Dynatrace)</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18/09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Urgent</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6.1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Dynatrace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Décision Go/No-Go sur la généralisation du périmètre Dynatrace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Chef de projet migration</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18–19/09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6.2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Dynatrace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Installation OneAgent sur périmètre pilote, par service (logs applicatifs/infra)</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21–25/09</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6.3</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Dynatrace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Recréation des dashboards Splunk restants dans Dynatrace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David (Dynatrace)</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21/09–09/10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6.4</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Dynatrace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Comparaison des dashboards Dynatrace vs Splunk (parité fonctionnelle)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Chef de projet migration</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12–16/10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6.5</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Dynatrace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Déploiement OneAgent à l'échelle du parc restant, par service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12–23/10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7.1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Validation</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Définir les scénarios de détection critiques à comparer</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19–20/10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7.2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Validation</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Exécuter le double run (Chronicle + Splunk en parallèle)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19–27/10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7.3</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Validation</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Consolider les écarts de détection et corriger les règles Chronicle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26–29/10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7.4</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Validation</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Valider la parité des dashboards Dynatrace en conditions réelles</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Chef de projet migration</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26–30/10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7.5</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Validation</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Décision Go/No-Go décommissionnement Splunk</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Comité de pilotage</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30/10</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8.1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Communication de la date d'arrêt à toutes les parties prenantes</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Chef de projet migration</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02/11</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8.2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Arrêt des forwarders Splunk (Linux/Windows/AIX)</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 + AIX/Unix</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03–05/11</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8.3</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Bascule finale des dashboards restants vers Dynatrace</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David (Dynatrace)</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03–06/11</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9.1</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Arrêt des indexers Splunk</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Sécurité/SIEM</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09–11/11</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9.2</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Décommissionnement des licences et de l'infrastructure Splunk</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Chef de projet migration</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12–13/11</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9.3</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Gouvernance</w:t>
            </w:r>
          </w:p>
        </w:tc>
        <w:tc>
          <w:tcPr>
            <w:tcW w:type="dxa" w:w="39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Bilan de migration et clôture de projet</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Chef de projet migration</w:t>
            </w:r>
          </w:p>
        </w:tc>
        <w:tc>
          <w:tcPr>
            <w:tcW w:type="dxa" w:w="105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13/11</w:t>
            </w:r>
          </w:p>
        </w:tc>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Jalon</w:t>
            </w:r>
          </w:p>
        </w:tc>
      </w:tr>
    </w:tbl>
    <w:p>
      <w:r>
        <w:br w:type="page"/>
      </w:r>
    </w:p>
    <w:p>
      <w:pPr>
        <w:pStyle w:val="Heading1"/>
        <w:spacing w:after="160" w:before="200"/>
      </w:pPr>
      <w:r>
        <w:rPr>
          <w:rFonts w:ascii="Arial" w:cs="Arial" w:eastAsia="Arial" w:hAnsi="Arial"/>
          <w:b/>
          <w:bCs/>
          <w:color w:val="0B4A75"/>
        </w:rPr>
        <w:t xml:space="preserve">5. Matrice RACI</w:t>
      </w:r>
    </w:p>
    <w:p>
      <w:pPr>
        <w:spacing w:after="160"/>
      </w:pPr>
      <w:r>
        <w:rPr>
          <w:rFonts w:ascii="Arial" w:cs="Arial" w:eastAsia="Arial" w:hAnsi="Arial"/>
          <w:b w:val="false"/>
          <w:bCs w:val="false"/>
          <w:color w:val="64748B"/>
          <w:sz w:val="18"/>
          <w:szCs w:val="18"/>
        </w:rPr>
        <w:t xml:space="preserve">R = Responsible (réalise) · A = Accountable (rend compte / décide) · C = Consulted (consulté) · I = Informed (informé)</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100"/>
        <w:gridCol w:w="1100"/>
        <w:gridCol w:w="1100"/>
        <w:gridCol w:w="1100"/>
        <w:gridCol w:w="1100"/>
        <w:gridCol w:w="1100"/>
      </w:tblGrid>
      <w:tr>
        <w:trPr>
          <w:tblHeader/>
        </w:trPr>
        <w:tc>
          <w:tcPr>
            <w:tcW w:type="dxa" w:w="5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t>
            </w:r>
          </w:p>
        </w:tc>
        <w:tc>
          <w:tcPr>
            <w:tcW w:type="dxa" w:w="30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Phase / Livrable</w:t>
            </w:r>
          </w:p>
        </w:tc>
        <w:tc>
          <w:tcPr>
            <w:tcW w:type="dxa" w:w="11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Chef de projet</w:t>
            </w:r>
          </w:p>
        </w:tc>
        <w:tc>
          <w:tcPr>
            <w:tcW w:type="dxa" w:w="11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Cloud/AWS</w:t>
            </w:r>
          </w:p>
        </w:tc>
        <w:tc>
          <w:tcPr>
            <w:tcW w:type="dxa" w:w="11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AIX/Unix</w:t>
            </w:r>
          </w:p>
        </w:tc>
        <w:tc>
          <w:tcPr>
            <w:tcW w:type="dxa" w:w="11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Sécurité/SIEM</w:t>
            </w:r>
          </w:p>
        </w:tc>
        <w:tc>
          <w:tcPr>
            <w:tcW w:type="dxa" w:w="11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David (Dynatrace)</w:t>
            </w:r>
          </w:p>
        </w:tc>
        <w:tc>
          <w:tcPr>
            <w:tcW w:type="dxa" w:w="11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Comité pilotage</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1</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Cadrage &amp; validation architecture</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2</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Pilote CloudWatch Linux/Windows</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3</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Pivot &amp; pilote rsyslog → Forwarder AIX</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4</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Généralisation CloudWatch + Chronicle Native Feed</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5</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Généralisation rsyslog AIX → Forwarder</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6</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Migration logs/dashboards → Dynatrace (OneAgent)</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7</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Double run &amp; validation de parité</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8</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Bascule finale &amp; arrêt progressif Splunk</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r>
      <w:tr>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9</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Décommissionnement complet Splunk (J+60)</w:t>
            </w:r>
          </w:p>
        </w:tc>
        <w:tc>
          <w:tcPr>
            <w:tcW w:type="dxa" w:w="1100"/>
            <w:tcBorders>
              <w:top w:val="single" w:color="CBD5E1" w:sz="4"/>
              <w:left w:val="single" w:color="CBD5E1" w:sz="4"/>
              <w:bottom w:val="single" w:color="CBD5E1" w:sz="4"/>
              <w:right w:val="single" w:color="CBD5E1" w:sz="4"/>
            </w:tcBorders>
            <w:shd w:fill="DBEAFE"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R</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9D5FF"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C</w:t>
            </w:r>
          </w:p>
        </w:tc>
        <w:tc>
          <w:tcPr>
            <w:tcW w:type="dxa" w:w="1100"/>
            <w:tcBorders>
              <w:top w:val="single" w:color="CBD5E1" w:sz="4"/>
              <w:left w:val="single" w:color="CBD5E1" w:sz="4"/>
              <w:bottom w:val="single" w:color="CBD5E1" w:sz="4"/>
              <w:right w:val="single" w:color="CBD5E1" w:sz="4"/>
            </w:tcBorders>
            <w:shd w:fill="E5E7EB"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I</w:t>
            </w:r>
          </w:p>
        </w:tc>
        <w:tc>
          <w:tcPr>
            <w:tcW w:type="dxa" w:w="1100"/>
            <w:tcBorders>
              <w:top w:val="single" w:color="CBD5E1" w:sz="4"/>
              <w:left w:val="single" w:color="CBD5E1" w:sz="4"/>
              <w:bottom w:val="single" w:color="CBD5E1" w:sz="4"/>
              <w:right w:val="single" w:color="CBD5E1" w:sz="4"/>
            </w:tcBorders>
            <w:shd w:fill="FDE68A" w:val="clear"/>
            <w:tcMar>
              <w:top w:type="dxa" w:w="60"/>
              <w:left w:type="dxa" w:w="80"/>
              <w:bottom w:type="dxa" w:w="60"/>
              <w:right w:type="dxa" w:w="80"/>
            </w:tcMar>
            <w:vAlign w:val="center"/>
          </w:tcPr>
          <w:p>
            <w:pPr>
              <w:jc w:val="center"/>
            </w:pPr>
            <w:r>
              <w:rPr>
                <w:rFonts w:ascii="Arial" w:cs="Arial" w:eastAsia="Arial" w:hAnsi="Arial"/>
                <w:b/>
                <w:bCs/>
                <w:color w:val="1E293B"/>
                <w:sz w:val="17"/>
                <w:szCs w:val="17"/>
              </w:rPr>
              <w:t xml:space="preserve">A</w:t>
            </w:r>
          </w:p>
        </w:tc>
      </w:tr>
    </w:tbl>
    <w:p>
      <w:r>
        <w:br w:type="page"/>
      </w:r>
    </w:p>
    <w:p>
      <w:pPr>
        <w:pStyle w:val="Heading1"/>
        <w:spacing w:after="160" w:before="200"/>
      </w:pPr>
      <w:r>
        <w:rPr>
          <w:rFonts w:ascii="Arial" w:cs="Arial" w:eastAsia="Arial" w:hAnsi="Arial"/>
          <w:b/>
          <w:bCs/>
          <w:color w:val="0B4A75"/>
        </w:rPr>
        <w:t xml:space="preserve">6. RAID Log — Risques, Hypothèses, Problèmes, Dépendances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4400"/>
        <w:gridCol w:w="1300"/>
        <w:gridCol w:w="1000"/>
        <w:gridCol w:w="1400"/>
      </w:tblGrid>
      <w:tr>
        <w:trPr>
          <w:tblHeader/>
        </w:trPr>
        <w:tc>
          <w:tcPr>
            <w:tcW w:type="dxa" w:w="13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Type</w:t>
            </w:r>
          </w:p>
        </w:tc>
        <w:tc>
          <w:tcPr>
            <w:tcW w:type="dxa" w:w="7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ID</w:t>
            </w:r>
          </w:p>
        </w:tc>
        <w:tc>
          <w:tcPr>
            <w:tcW w:type="dxa" w:w="44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Titre</w:t>
            </w:r>
          </w:p>
        </w:tc>
        <w:tc>
          <w:tcPr>
            <w:tcW w:type="dxa" w:w="13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Chantier</w:t>
            </w:r>
          </w:p>
        </w:tc>
        <w:tc>
          <w:tcPr>
            <w:tcW w:type="dxa" w:w="10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Impact</w:t>
            </w:r>
          </w:p>
        </w:tc>
        <w:tc>
          <w:tcPr>
            <w:tcW w:type="dxa" w:w="14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Statut</w:t>
            </w:r>
          </w:p>
        </w:tc>
      </w:tr>
      <w:tr>
        <w:tc>
          <w:tcPr>
            <w:tcW w:type="dxa" w:w="13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Problème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P1</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Le binaire Chronicle Forwarder ne s'installe pas sur la version d'AIX en place (OS incompatible)</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AIX</w:t>
            </w:r>
          </w:p>
        </w:tc>
        <w:tc>
          <w:tcPr>
            <w:tcW w:type="dxa" w:w="10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Élevé</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Traité</w:t>
            </w:r>
          </w:p>
        </w:tc>
      </w:tr>
      <w:tr>
        <w:tc>
          <w:tcPr>
            <w:tcW w:type="dxa" w:w="13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Risque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R2</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Dépendance à la validation des dashboards Dynatrace (résultat attendu le 18/09)</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Dynatrace</w:t>
            </w:r>
          </w:p>
        </w:tc>
        <w:tc>
          <w:tcPr>
            <w:tcW w:type="dxa" w:w="1000"/>
            <w:tcBorders>
              <w:top w:val="single" w:color="CBD5E1" w:sz="4"/>
              <w:left w:val="single" w:color="CBD5E1" w:sz="4"/>
              <w:bottom w:val="single" w:color="CBD5E1" w:sz="4"/>
              <w:right w:val="single" w:color="CBD5E1" w:sz="4"/>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Moyen</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En cours</w:t>
            </w:r>
          </w:p>
        </w:tc>
      </w:tr>
      <w:tr>
        <w:tc>
          <w:tcPr>
            <w:tcW w:type="dxa" w:w="13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Risque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R3</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Fraîcheur des données via le Native Feed (modèle pull périodique)</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AWS</w:t>
            </w:r>
          </w:p>
        </w:tc>
        <w:tc>
          <w:tcPr>
            <w:tcW w:type="dxa" w:w="1000"/>
            <w:tcBorders>
              <w:top w:val="single" w:color="CBD5E1" w:sz="4"/>
              <w:left w:val="single" w:color="CBD5E1" w:sz="4"/>
              <w:bottom w:val="single" w:color="CBD5E1" w:sz="4"/>
              <w:right w:val="single" w:color="CBD5E1" w:sz="4"/>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Moyen</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À surveiller</w:t>
            </w:r>
          </w:p>
        </w:tc>
      </w:tr>
      <w:tr>
        <w:tc>
          <w:tcPr>
            <w:tcW w:type="dxa" w:w="13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Risque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R4</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Point de défaillance unique sur le relais/Forwarder AIX</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AIX</w:t>
            </w:r>
          </w:p>
        </w:tc>
        <w:tc>
          <w:tcPr>
            <w:tcW w:type="dxa" w:w="10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Élevé</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Mitigé</w:t>
            </w:r>
          </w:p>
        </w:tc>
      </w:tr>
      <w:tr>
        <w:tc>
          <w:tcPr>
            <w:tcW w:type="dxa" w:w="13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Risque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R5</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Délai de 2 mois jugé serré au vu du nombre de chantiers parallèles</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Gouvernance</w:t>
            </w:r>
          </w:p>
        </w:tc>
        <w:tc>
          <w:tcPr>
            <w:tcW w:type="dxa" w:w="10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Élevé</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À surveiller</w:t>
            </w:r>
          </w:p>
        </w:tc>
      </w:tr>
      <w:tr>
        <w:tc>
          <w:tcPr>
            <w:tcW w:type="dxa" w:w="13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Risque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R6</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Perte de couverture de détection pendant la bascule</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Sécurité</w:t>
            </w:r>
          </w:p>
        </w:tc>
        <w:tc>
          <w:tcPr>
            <w:tcW w:type="dxa" w:w="10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Élevé</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À traiter</w:t>
            </w:r>
          </w:p>
        </w:tc>
      </w:tr>
      <w:tr>
        <w:tc>
          <w:tcPr>
            <w:tcW w:type="dxa" w:w="13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Risque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R7</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Non-répudiation des horodatages AIX (relais vs source)</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AIX</w:t>
            </w:r>
          </w:p>
        </w:tc>
        <w:tc>
          <w:tcPr>
            <w:tcW w:type="dxa" w:w="1000"/>
            <w:tcBorders>
              <w:top w:val="single" w:color="CBD5E1" w:sz="4"/>
              <w:left w:val="single" w:color="CBD5E1" w:sz="4"/>
              <w:bottom w:val="single" w:color="CBD5E1" w:sz="4"/>
              <w:right w:val="single" w:color="CBD5E1" w:sz="4"/>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Moyen</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À valider</w:t>
            </w:r>
          </w:p>
        </w:tc>
      </w:tr>
      <w:tr>
        <w:tc>
          <w:tcPr>
            <w:tcW w:type="dxa" w:w="1300"/>
            <w:tcBorders>
              <w:top w:val="single" w:color="CBD5E1" w:sz="4"/>
              <w:left w:val="single" w:color="CBD5E1" w:sz="4"/>
              <w:bottom w:val="single" w:color="CBD5E1" w:sz="4"/>
              <w:right w:val="single" w:color="CBD5E1" w:sz="4"/>
            </w:tcBorders>
            <w:shd w:fill="E0F2FE"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Hypothèse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H1</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rsyslog sur AIX supporte un transport TCP fiable vers le Forwarder</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AIX</w:t>
            </w:r>
          </w:p>
        </w:tc>
        <w:tc>
          <w:tcPr>
            <w:tcW w:type="dxa" w:w="1000"/>
            <w:tcBorders>
              <w:top w:val="single" w:color="CBD5E1" w:sz="4"/>
              <w:left w:val="single" w:color="CBD5E1" w:sz="4"/>
              <w:bottom w:val="single" w:color="CBD5E1" w:sz="4"/>
              <w:right w:val="single" w:color="CBD5E1" w:sz="4"/>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Moyen</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À confirmer</w:t>
            </w:r>
          </w:p>
        </w:tc>
      </w:tr>
      <w:tr>
        <w:tc>
          <w:tcPr>
            <w:tcW w:type="dxa" w:w="1300"/>
            <w:tcBorders>
              <w:top w:val="single" w:color="CBD5E1" w:sz="4"/>
              <w:left w:val="single" w:color="CBD5E1" w:sz="4"/>
              <w:bottom w:val="single" w:color="CBD5E1" w:sz="4"/>
              <w:right w:val="single" w:color="CBD5E1" w:sz="4"/>
            </w:tcBorders>
            <w:shd w:fill="E0F2FE"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Hypothèse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H2</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Chronicle autorise un feed natif Amazon CloudWatch pour tous les comptes/régions</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AWS</w:t>
            </w:r>
          </w:p>
        </w:tc>
        <w:tc>
          <w:tcPr>
            <w:tcW w:type="dxa" w:w="1000"/>
            <w:tcBorders>
              <w:top w:val="single" w:color="CBD5E1" w:sz="4"/>
              <w:left w:val="single" w:color="CBD5E1" w:sz="4"/>
              <w:bottom w:val="single" w:color="CBD5E1" w:sz="4"/>
              <w:right w:val="single" w:color="CBD5E1" w:sz="4"/>
            </w:tcBorders>
            <w:shd w:fill="FEF3C7"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Moyen</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À confirmer</w:t>
            </w:r>
          </w:p>
        </w:tc>
      </w:tr>
      <w:tr>
        <w:tc>
          <w:tcPr>
            <w:tcW w:type="dxa" w:w="1300"/>
            <w:tcBorders>
              <w:top w:val="single" w:color="CBD5E1" w:sz="4"/>
              <w:left w:val="single" w:color="CBD5E1" w:sz="4"/>
              <w:bottom w:val="single" w:color="CBD5E1" w:sz="4"/>
              <w:right w:val="single" w:color="CBD5E1" w:sz="4"/>
            </w:tcBorders>
            <w:shd w:fill="FEF3C7"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Dépendance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DP1</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Généralisation Dynatrace dépend du résultat de David</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Dynatrace</w:t>
            </w:r>
          </w:p>
        </w:tc>
        <w:tc>
          <w:tcPr>
            <w:tcW w:type="dxa" w:w="10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Élevé</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Ouverte</w:t>
            </w:r>
          </w:p>
        </w:tc>
      </w:tr>
      <w:tr>
        <w:tc>
          <w:tcPr>
            <w:tcW w:type="dxa" w:w="1300"/>
            <w:tcBorders>
              <w:top w:val="single" w:color="CBD5E1" w:sz="4"/>
              <w:left w:val="single" w:color="CBD5E1" w:sz="4"/>
              <w:bottom w:val="single" w:color="CBD5E1" w:sz="4"/>
              <w:right w:val="single" w:color="CBD5E1" w:sz="4"/>
            </w:tcBorders>
            <w:shd w:fill="FEF3C7"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Dépendance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DP2</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Double run dépend de la généralisation complète AWS et AIX</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Validation</w:t>
            </w:r>
          </w:p>
        </w:tc>
        <w:tc>
          <w:tcPr>
            <w:tcW w:type="dxa" w:w="10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Élevé</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Ouverte</w:t>
            </w:r>
          </w:p>
        </w:tc>
      </w:tr>
      <w:tr>
        <w:tc>
          <w:tcPr>
            <w:tcW w:type="dxa" w:w="1300"/>
            <w:tcBorders>
              <w:top w:val="single" w:color="CBD5E1" w:sz="4"/>
              <w:left w:val="single" w:color="CBD5E1" w:sz="4"/>
              <w:bottom w:val="single" w:color="CBD5E1" w:sz="4"/>
              <w:right w:val="single" w:color="CBD5E1" w:sz="4"/>
            </w:tcBorders>
            <w:shd w:fill="FEF3C7" w:val="clear"/>
            <w:tcMar>
              <w:top w:type="dxa" w:w="60"/>
              <w:left w:type="dxa" w:w="80"/>
              <w:bottom w:type="dxa" w:w="60"/>
              <w:right w:type="dxa" w:w="80"/>
            </w:tcMar>
            <w:vAlign w:val="center"/>
          </w:tcPr>
          <w:p>
            <w:pPr>
              <w:jc w:val="left"/>
            </w:pPr>
            <w:r>
              <w:rPr>
                <w:rFonts w:ascii="Arial" w:cs="Arial" w:eastAsia="Arial" w:hAnsi="Arial"/>
                <w:b/>
                <w:bCs/>
                <w:color w:val="1E293B"/>
                <w:sz w:val="17"/>
                <w:szCs w:val="17"/>
              </w:rPr>
              <w:t xml:space="preserve">Dépendance</w:t>
            </w:r>
          </w:p>
        </w:tc>
        <w:tc>
          <w:tcPr>
            <w:tcW w:type="dxa" w:w="7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center"/>
            </w:pPr>
            <w:r>
              <w:rPr>
                <w:rFonts w:ascii="Arial" w:cs="Arial" w:eastAsia="Arial" w:hAnsi="Arial"/>
                <w:b w:val="false"/>
                <w:bCs w:val="false"/>
                <w:color w:val="1E293B"/>
                <w:sz w:val="17"/>
                <w:szCs w:val="17"/>
              </w:rPr>
              <w:t xml:space="preserve">DP3</w:t>
            </w:r>
          </w:p>
        </w:tc>
        <w:tc>
          <w:tcPr>
            <w:tcW w:type="dxa" w:w="4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Décommissionnement Splunk dépend de la décision du 30/10</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Gouvernance</w:t>
            </w:r>
          </w:p>
        </w:tc>
        <w:tc>
          <w:tcPr>
            <w:tcW w:type="dxa" w:w="1000"/>
            <w:tcBorders>
              <w:top w:val="single" w:color="CBD5E1" w:sz="4"/>
              <w:left w:val="single" w:color="CBD5E1" w:sz="4"/>
              <w:bottom w:val="single" w:color="CBD5E1" w:sz="4"/>
              <w:right w:val="single" w:color="CBD5E1" w:sz="4"/>
            </w:tcBorders>
            <w:shd w:fill="FEE2E2" w:val="clear"/>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Élevé</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7"/>
                <w:szCs w:val="17"/>
              </w:rPr>
              <w:t xml:space="preserve">Ouverte</w:t>
            </w:r>
          </w:p>
        </w:tc>
      </w:tr>
    </w:tbl>
    <w:p>
      <w:pPr>
        <w:spacing w:after="160" w:before="160"/>
      </w:pPr>
      <w:r>
        <w:rPr>
          <w:rFonts w:ascii="Arial" w:cs="Arial" w:eastAsia="Arial" w:hAnsi="Arial"/>
          <w:b w:val="false"/>
          <w:bCs w:val="false"/>
          <w:color w:val="64748B"/>
          <w:sz w:val="18"/>
          <w:szCs w:val="18"/>
        </w:rPr>
        <w:t xml:space="preserve">Plans d'action détaillés par item : voir le classeur Excel PMO, feuille « RAID Log ».</w:t>
      </w:r>
    </w:p>
    <w:p>
      <w:r>
        <w:br w:type="page"/>
      </w:r>
    </w:p>
    <w:p>
      <w:pPr>
        <w:pStyle w:val="Heading1"/>
        <w:spacing w:after="160" w:before="200"/>
      </w:pPr>
      <w:r>
        <w:rPr>
          <w:rFonts w:ascii="Arial" w:cs="Arial" w:eastAsia="Arial" w:hAnsi="Arial"/>
          <w:b/>
          <w:bCs/>
          <w:color w:val="0B4A75"/>
        </w:rPr>
        <w:t xml:space="preserve">7. Suivi dédié — Dynatrace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1300"/>
        <w:gridCol w:w="1200"/>
      </w:tblGrid>
      <w:tr>
        <w:trPr>
          <w:tblHeader/>
        </w:trPr>
        <w:tc>
          <w:tcPr>
            <w:tcW w:type="dxa" w:w="48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Tâche</w:t>
            </w:r>
          </w:p>
        </w:tc>
        <w:tc>
          <w:tcPr>
            <w:tcW w:type="dxa" w:w="22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Owner</w:t>
            </w:r>
          </w:p>
        </w:tc>
        <w:tc>
          <w:tcPr>
            <w:tcW w:type="dxa" w:w="13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Échéance</w:t>
            </w:r>
          </w:p>
        </w:tc>
        <w:tc>
          <w:tcPr>
            <w:tcW w:type="dxa" w:w="1200"/>
            <w:tcBorders>
              <w:top w:val="single" w:color="CBD5E1" w:sz="4"/>
              <w:left w:val="single" w:color="CBD5E1" w:sz="4"/>
              <w:bottom w:val="single" w:color="CBD5E1" w:sz="4"/>
              <w:right w:val="single" w:color="CBD5E1" w:sz="4"/>
            </w:tcBorders>
            <w:shd w:fill="0B4A75"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Statut</w:t>
            </w:r>
          </w:p>
        </w:tc>
      </w:tr>
      <w:tr>
        <w:tc>
          <w:tcPr>
            <w:tcW w:type="dxa" w:w="4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Migration des dashboards Splunk vers Dynatrace</w:t>
            </w:r>
          </w:p>
        </w:tc>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David (Dynatrace)</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18/09/2026</w:t>
            </w:r>
          </w:p>
        </w:tc>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En cours</w:t>
            </w:r>
          </w:p>
        </w:tc>
      </w:tr>
      <w:tr>
        <w:tc>
          <w:tcPr>
            <w:tcW w:type="dxa" w:w="4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Déploiement OneAgent — pilote, par service (logs applicatifs/infra)</w:t>
            </w:r>
          </w:p>
        </w:tc>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25/09/2026</w:t>
            </w:r>
          </w:p>
        </w:tc>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4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Comparaison des dashboards Dynatrace vs Splunk</w:t>
            </w:r>
          </w:p>
        </w:tc>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Chef de projet migration</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16/10/2026</w:t>
            </w:r>
          </w:p>
        </w:tc>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4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Généralisation OneAgent, par service, à l'échelle du parc</w:t>
            </w:r>
          </w:p>
        </w:tc>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Équipe Cloud/AWS</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23/10/2026</w:t>
            </w:r>
          </w:p>
        </w:tc>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r>
        <w:tc>
          <w:tcPr>
            <w:tcW w:type="dxa" w:w="4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Bascule finale des dashboards restants</w:t>
            </w:r>
          </w:p>
        </w:tc>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David (Dynatrace)</w:t>
            </w:r>
          </w:p>
        </w:tc>
        <w:tc>
          <w:tcPr>
            <w:tcW w:type="dxa" w:w="13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06/11/2026</w:t>
            </w:r>
          </w:p>
        </w:tc>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pPr>
              <w:jc w:val="left"/>
            </w:pPr>
            <w:r>
              <w:rPr>
                <w:rFonts w:ascii="Arial" w:cs="Arial" w:eastAsia="Arial" w:hAnsi="Arial"/>
                <w:b w:val="false"/>
                <w:bCs w:val="false"/>
                <w:color w:val="1E293B"/>
                <w:sz w:val="16"/>
                <w:szCs w:val="16"/>
              </w:rPr>
              <w:t xml:space="preserve">À faire</w:t>
            </w:r>
          </w:p>
        </w:tc>
      </w:tr>
    </w:tbl>
    <w:p>
      <w:pPr>
        <w:spacing w:before="300"/>
      </w:pPr>
    </w:p>
    <w:p>
      <w:pPr>
        <w:pStyle w:val="Heading1"/>
        <w:spacing w:after="160" w:before="200"/>
      </w:pPr>
      <w:r>
        <w:rPr>
          <w:rFonts w:ascii="Arial" w:cs="Arial" w:eastAsia="Arial" w:hAnsi="Arial"/>
          <w:b/>
          <w:bCs/>
          <w:color w:val="0B4A75"/>
        </w:rPr>
        <w:t xml:space="preserve">8. Prochaines étapes immédiates</w:t>
      </w:r>
    </w:p>
    <w:p>
      <w:pPr>
        <w:pStyle w:val="ListParagraph"/>
        <w:numPr>
          <w:ilvl w:val="0"/>
          <w:numId w:val="3"/>
        </w:numPr>
        <w:spacing w:after="100"/>
      </w:pPr>
      <w:r>
        <w:rPr>
          <w:rFonts w:ascii="Arial" w:cs="Arial" w:eastAsia="Arial" w:hAnsi="Arial"/>
          <w:sz w:val="21"/>
          <w:szCs w:val="21"/>
        </w:rPr>
        <w:t xml:space="preserve">Finaliser le cadrage et la validation de l'architecture d'ici le 18 septembre.</w:t>
      </w:r>
    </w:p>
    <w:p>
      <w:pPr>
        <w:pStyle w:val="ListParagraph"/>
        <w:numPr>
          <w:ilvl w:val="0"/>
          <w:numId w:val="3"/>
        </w:numPr>
        <w:spacing w:after="100"/>
      </w:pPr>
      <w:r>
        <w:rPr>
          <w:rFonts w:ascii="Arial" w:cs="Arial" w:eastAsia="Arial" w:hAnsi="Arial"/>
          <w:sz w:val="21"/>
          <w:szCs w:val="21"/>
        </w:rPr>
        <w:t xml:space="preserve">Recevoir et évaluer le résultat de migration des dashboards Dynatrace (David) le 18 septembre, puis acter la décision Go/No-Go de généralisation OneAgent.</w:t>
      </w:r>
    </w:p>
    <w:p>
      <w:pPr>
        <w:pStyle w:val="ListParagraph"/>
        <w:numPr>
          <w:ilvl w:val="0"/>
          <w:numId w:val="3"/>
        </w:numPr>
        <w:spacing w:after="100"/>
      </w:pPr>
      <w:r>
        <w:rPr>
          <w:rFonts w:ascii="Arial" w:cs="Arial" w:eastAsia="Arial" w:hAnsi="Arial"/>
          <w:sz w:val="21"/>
          <w:szCs w:val="21"/>
        </w:rPr>
        <w:t xml:space="preserve">Lancer en parallèle, dès le 21 septembre : le pilote CloudWatch (Linux/Windows) et le pilote Forwarder/rsyslog (AIX) — ce dernier en priorité, du fait de l'incident déjà rencontré.</w:t>
      </w:r>
    </w:p>
    <w:p>
      <w:pPr>
        <w:pStyle w:val="ListParagraph"/>
        <w:numPr>
          <w:ilvl w:val="0"/>
          <w:numId w:val="3"/>
        </w:numPr>
        <w:spacing w:after="100"/>
      </w:pPr>
      <w:r>
        <w:rPr>
          <w:rFonts w:ascii="Arial" w:cs="Arial" w:eastAsia="Arial" w:hAnsi="Arial"/>
          <w:sz w:val="21"/>
          <w:szCs w:val="21"/>
        </w:rPr>
        <w:t xml:space="preserve">Tenir un point hebdomadaire de suivi de planning (macro + micro) en comité de pilotage jusqu'au décommissionnement complet de Splunk.</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d51e2917096368f14723c25affea5d221f5918.png"/><Relationship Id="rId8" Type="http://schemas.openxmlformats.org/officeDocument/2006/relationships/image" Target="media/0ea62a6d93b30a5da581b3f5b3b5257244e1c32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2026-09-15T15:23:59.781Z</dcterms:created>
  <dcterms:modified xsi:type="dcterms:W3CDTF">2026-09-15T15:23:59.781Z</dcterms:modified>
</cp:coreProperties>
</file>

<file path=docProps/custom.xml><?xml version="1.0" encoding="utf-8"?>
<Properties xmlns="http://schemas.openxmlformats.org/officeDocument/2006/custom-properties" xmlns:vt="http://schemas.openxmlformats.org/officeDocument/2006/docPropsVTypes"/>
</file>