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en</w:t>
      </w:r>
      <w:r>
        <w:t xml:space="preserve"> </w:t>
      </w:r>
      <w:r>
        <w:t xml:space="preserve">composantes</w:t>
      </w:r>
      <w:r>
        <w:t xml:space="preserve"> </w:t>
      </w:r>
      <w:r>
        <w:t xml:space="preserve">principales</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données</w:t>
      </w:r>
      <w:r>
        <w:t xml:space="preserve"> </w:t>
      </w:r>
      <w:r>
        <w:t xml:space="preserve">Decathlon</w:t>
      </w:r>
    </w:p>
    <w:p>
      <w:pPr>
        <w:pStyle w:val="Author"/>
      </w:pPr>
      <w:r>
        <w:t xml:space="preserve">Axel-Cleris</w:t>
      </w:r>
      <w:r>
        <w:t xml:space="preserve"> </w:t>
      </w:r>
      <w:r>
        <w:t xml:space="preserve">Gailloty</w:t>
      </w:r>
    </w:p>
    <w:p>
      <w:pPr>
        <w:pStyle w:val="Date"/>
      </w:pPr>
      <w:r>
        <w:t xml:space="preserve">2023-03-05</w:t>
      </w:r>
    </w:p>
    <w:bookmarkStart w:id="20" w:name="présentation-du-jeu-de-données"/>
    <w:p>
      <w:pPr>
        <w:pStyle w:val="Heading1"/>
      </w:pPr>
      <w:r>
        <w:t xml:space="preserve">Présentation du jeu de données</w:t>
      </w:r>
    </w:p>
    <w:p>
      <w:pPr>
        <w:pStyle w:val="FirstParagraph"/>
      </w:pPr>
      <w:r>
        <w:t xml:space="preserve">Le tableau de données contient 41 lignes et 13 colonnes.</w:t>
      </w:r>
      <w:r>
        <w:t xml:space="preserve"> </w:t>
      </w:r>
      <w:r>
        <w:t xml:space="preserve">Les colonnes 1 à 12 sont des variables continues: les dix premières colonnes correspondent aux performances des athlètes pour les dix épreuves du décathlon et les colonnes 11 et 12 correspondent respectivement au rang et au nombre de points obtenus. La dernière colonne est une variable qualitative correspondant au nom de la compétition (Jeux Olympiques de 2004 ou Décastar 2004).</w:t>
      </w:r>
    </w:p>
    <w:p>
      <w:pPr>
        <w:pStyle w:val="BodyText"/>
      </w:pPr>
      <w:r>
        <w:t xml:space="preserve">Le tableau de données vient avec le package FactoMineR, pas besoin donc d’importer le jeu de données à partir d’un fichier.</w:t>
      </w:r>
      <w:r>
        <w:t xml:space="preserve"> </w:t>
      </w:r>
      <w:r>
        <w:t xml:space="preserve">Pour le charger en mémoire il suffit d’importer le package FactoMineR.</w:t>
      </w:r>
    </w:p>
    <w:p>
      <w:pPr>
        <w:pStyle w:val="SourceCode"/>
      </w:pPr>
      <w:r>
        <w:rPr>
          <w:rStyle w:val="FunctionTok"/>
        </w:rPr>
        <w:t xml:space="preserve">library</w:t>
      </w:r>
      <w:r>
        <w:rPr>
          <w:rStyle w:val="NormalTok"/>
        </w:rPr>
        <w:t xml:space="preserve">(FactoMineR)</w:t>
      </w:r>
      <w:r>
        <w:br/>
      </w:r>
      <w:r>
        <w:rPr>
          <w:rStyle w:val="FunctionTok"/>
        </w:rPr>
        <w:t xml:space="preserve">data</w:t>
      </w:r>
      <w:r>
        <w:rPr>
          <w:rStyle w:val="NormalTok"/>
        </w:rPr>
        <w:t xml:space="preserve">(decathlon)</w:t>
      </w:r>
      <w:r>
        <w:br/>
      </w:r>
      <w:r>
        <w:rPr>
          <w:rStyle w:val="FunctionTok"/>
        </w:rPr>
        <w:t xml:space="preserve">head</w:t>
      </w:r>
      <w:r>
        <w:rPr>
          <w:rStyle w:val="NormalTok"/>
        </w:rPr>
        <w:t xml:space="preserve">(decathlon)</w:t>
      </w:r>
    </w:p>
    <w:tbl>
      <w:tblPr>
        <w:tblStyle w:val="Table"/>
        <w:tblW w:type="pct" w:w="5000"/>
        <w:tblLook w:firstRow="1" w:lastRow="0" w:firstColumn="0" w:lastColumn="0" w:noHBand="0" w:noVBand="0" w:val="0020"/>
      </w:tblPr>
      <w:tblGrid>
        <w:gridCol w:w="536"/>
        <w:gridCol w:w="402"/>
        <w:gridCol w:w="671"/>
        <w:gridCol w:w="604"/>
        <w:gridCol w:w="671"/>
        <w:gridCol w:w="402"/>
        <w:gridCol w:w="805"/>
        <w:gridCol w:w="469"/>
        <w:gridCol w:w="738"/>
        <w:gridCol w:w="604"/>
        <w:gridCol w:w="402"/>
        <w:gridCol w:w="335"/>
        <w:gridCol w:w="469"/>
        <w:gridCol w:w="805"/>
      </w:tblGrid>
      <w:tr>
        <w:trPr>
          <w:tblHeader w:val="true"/>
        </w:trPr>
        <w:tc>
          <w:tcPr/>
          <w:p>
            <w:pPr>
              <w:pStyle w:val="Compact"/>
            </w:pPr>
          </w:p>
        </w:tc>
        <w:tc>
          <w:tcPr/>
          <w:p>
            <w:pPr>
              <w:pStyle w:val="Compact"/>
              <w:jc w:val="right"/>
            </w:pPr>
            <w:r>
              <w:t xml:space="preserve">100m</w:t>
            </w:r>
          </w:p>
        </w:tc>
        <w:tc>
          <w:tcPr/>
          <w:p>
            <w:pPr>
              <w:pStyle w:val="Compact"/>
              <w:jc w:val="right"/>
            </w:pPr>
            <w:r>
              <w:t xml:space="preserve">Long.jump</w:t>
            </w:r>
          </w:p>
        </w:tc>
        <w:tc>
          <w:tcPr/>
          <w:p>
            <w:pPr>
              <w:pStyle w:val="Compact"/>
              <w:jc w:val="right"/>
            </w:pPr>
            <w:r>
              <w:t xml:space="preserve">Shot.put</w:t>
            </w:r>
          </w:p>
        </w:tc>
        <w:tc>
          <w:tcPr/>
          <w:p>
            <w:pPr>
              <w:pStyle w:val="Compact"/>
              <w:jc w:val="right"/>
            </w:pPr>
            <w:r>
              <w:t xml:space="preserve">High.jump</w:t>
            </w:r>
          </w:p>
        </w:tc>
        <w:tc>
          <w:tcPr/>
          <w:p>
            <w:pPr>
              <w:pStyle w:val="Compact"/>
              <w:jc w:val="right"/>
            </w:pPr>
            <w:r>
              <w:t xml:space="preserve">400m</w:t>
            </w:r>
          </w:p>
        </w:tc>
        <w:tc>
          <w:tcPr/>
          <w:p>
            <w:pPr>
              <w:pStyle w:val="Compact"/>
              <w:jc w:val="right"/>
            </w:pPr>
            <w:r>
              <w:t xml:space="preserve">110m.hurdle</w:t>
            </w:r>
          </w:p>
        </w:tc>
        <w:tc>
          <w:tcPr/>
          <w:p>
            <w:pPr>
              <w:pStyle w:val="Compact"/>
              <w:jc w:val="right"/>
            </w:pPr>
            <w:r>
              <w:t xml:space="preserve">Discus</w:t>
            </w:r>
          </w:p>
        </w:tc>
        <w:tc>
          <w:tcPr/>
          <w:p>
            <w:pPr>
              <w:pStyle w:val="Compact"/>
              <w:jc w:val="right"/>
            </w:pPr>
            <w:r>
              <w:t xml:space="preserve">Pole.vault</w:t>
            </w:r>
          </w:p>
        </w:tc>
        <w:tc>
          <w:tcPr/>
          <w:p>
            <w:pPr>
              <w:pStyle w:val="Compact"/>
              <w:jc w:val="right"/>
            </w:pPr>
            <w:r>
              <w:t xml:space="preserve">Javeline</w:t>
            </w:r>
          </w:p>
        </w:tc>
        <w:tc>
          <w:tcPr/>
          <w:p>
            <w:pPr>
              <w:pStyle w:val="Compact"/>
              <w:jc w:val="right"/>
            </w:pPr>
            <w:r>
              <w:t xml:space="preserve">1500m</w:t>
            </w:r>
          </w:p>
        </w:tc>
        <w:tc>
          <w:tcPr/>
          <w:p>
            <w:pPr>
              <w:pStyle w:val="Compact"/>
              <w:jc w:val="right"/>
            </w:pPr>
            <w:r>
              <w:t xml:space="preserve">Rank</w:t>
            </w:r>
          </w:p>
        </w:tc>
        <w:tc>
          <w:tcPr/>
          <w:p>
            <w:pPr>
              <w:pStyle w:val="Compact"/>
              <w:jc w:val="right"/>
            </w:pPr>
            <w:r>
              <w:t xml:space="preserve">Points</w:t>
            </w:r>
          </w:p>
        </w:tc>
        <w:tc>
          <w:tcPr/>
          <w:p>
            <w:pPr>
              <w:pStyle w:val="Compact"/>
              <w:jc w:val="left"/>
            </w:pPr>
            <w:r>
              <w:t xml:space="preserve">Competition</w:t>
            </w:r>
          </w:p>
        </w:tc>
      </w:tr>
      <w:tr>
        <w:tc>
          <w:tcPr/>
          <w:p>
            <w:pPr>
              <w:pStyle w:val="Compact"/>
              <w:jc w:val="left"/>
            </w:pPr>
            <w:r>
              <w:t xml:space="preserve">SEBRLE</w:t>
            </w:r>
          </w:p>
        </w:tc>
        <w:tc>
          <w:tcPr/>
          <w:p>
            <w:pPr>
              <w:pStyle w:val="Compact"/>
              <w:jc w:val="right"/>
            </w:pPr>
            <w:r>
              <w:t xml:space="preserve">11.04</w:t>
            </w:r>
          </w:p>
        </w:tc>
        <w:tc>
          <w:tcPr/>
          <w:p>
            <w:pPr>
              <w:pStyle w:val="Compact"/>
              <w:jc w:val="right"/>
            </w:pPr>
            <w:r>
              <w:t xml:space="preserve">7.58</w:t>
            </w:r>
          </w:p>
        </w:tc>
        <w:tc>
          <w:tcPr/>
          <w:p>
            <w:pPr>
              <w:pStyle w:val="Compact"/>
              <w:jc w:val="right"/>
            </w:pPr>
            <w:r>
              <w:t xml:space="preserve">14.83</w:t>
            </w:r>
          </w:p>
        </w:tc>
        <w:tc>
          <w:tcPr/>
          <w:p>
            <w:pPr>
              <w:pStyle w:val="Compact"/>
              <w:jc w:val="right"/>
            </w:pPr>
            <w:r>
              <w:t xml:space="preserve">2.07</w:t>
            </w:r>
          </w:p>
        </w:tc>
        <w:tc>
          <w:tcPr/>
          <w:p>
            <w:pPr>
              <w:pStyle w:val="Compact"/>
              <w:jc w:val="right"/>
            </w:pPr>
            <w:r>
              <w:t xml:space="preserve">49.81</w:t>
            </w:r>
          </w:p>
        </w:tc>
        <w:tc>
          <w:tcPr/>
          <w:p>
            <w:pPr>
              <w:pStyle w:val="Compact"/>
              <w:jc w:val="right"/>
            </w:pPr>
            <w:r>
              <w:t xml:space="preserve">14.69</w:t>
            </w:r>
          </w:p>
        </w:tc>
        <w:tc>
          <w:tcPr/>
          <w:p>
            <w:pPr>
              <w:pStyle w:val="Compact"/>
              <w:jc w:val="right"/>
            </w:pPr>
            <w:r>
              <w:t xml:space="preserve">43.75</w:t>
            </w:r>
          </w:p>
        </w:tc>
        <w:tc>
          <w:tcPr/>
          <w:p>
            <w:pPr>
              <w:pStyle w:val="Compact"/>
              <w:jc w:val="right"/>
            </w:pPr>
            <w:r>
              <w:t xml:space="preserve">5.02</w:t>
            </w:r>
          </w:p>
        </w:tc>
        <w:tc>
          <w:tcPr/>
          <w:p>
            <w:pPr>
              <w:pStyle w:val="Compact"/>
              <w:jc w:val="right"/>
            </w:pPr>
            <w:r>
              <w:t xml:space="preserve">63.19</w:t>
            </w:r>
          </w:p>
        </w:tc>
        <w:tc>
          <w:tcPr/>
          <w:p>
            <w:pPr>
              <w:pStyle w:val="Compact"/>
              <w:jc w:val="right"/>
            </w:pPr>
            <w:r>
              <w:t xml:space="preserve">291.7</w:t>
            </w:r>
          </w:p>
        </w:tc>
        <w:tc>
          <w:tcPr/>
          <w:p>
            <w:pPr>
              <w:pStyle w:val="Compact"/>
              <w:jc w:val="right"/>
            </w:pPr>
            <w:r>
              <w:t xml:space="preserve">1</w:t>
            </w:r>
          </w:p>
        </w:tc>
        <w:tc>
          <w:tcPr/>
          <w:p>
            <w:pPr>
              <w:pStyle w:val="Compact"/>
              <w:jc w:val="right"/>
            </w:pPr>
            <w:r>
              <w:t xml:space="preserve">8217</w:t>
            </w:r>
          </w:p>
        </w:tc>
        <w:tc>
          <w:tcPr/>
          <w:p>
            <w:pPr>
              <w:pStyle w:val="Compact"/>
              <w:jc w:val="left"/>
            </w:pPr>
            <w:r>
              <w:t xml:space="preserve">Decastar</w:t>
            </w:r>
          </w:p>
        </w:tc>
      </w:tr>
      <w:tr>
        <w:tc>
          <w:tcPr/>
          <w:p>
            <w:pPr>
              <w:pStyle w:val="Compact"/>
              <w:jc w:val="left"/>
            </w:pPr>
            <w:r>
              <w:t xml:space="preserve">CLAY</w:t>
            </w:r>
          </w:p>
        </w:tc>
        <w:tc>
          <w:tcPr/>
          <w:p>
            <w:pPr>
              <w:pStyle w:val="Compact"/>
              <w:jc w:val="right"/>
            </w:pPr>
            <w:r>
              <w:t xml:space="preserve">10.76</w:t>
            </w:r>
          </w:p>
        </w:tc>
        <w:tc>
          <w:tcPr/>
          <w:p>
            <w:pPr>
              <w:pStyle w:val="Compact"/>
              <w:jc w:val="right"/>
            </w:pPr>
            <w:r>
              <w:t xml:space="preserve">7.40</w:t>
            </w:r>
          </w:p>
        </w:tc>
        <w:tc>
          <w:tcPr/>
          <w:p>
            <w:pPr>
              <w:pStyle w:val="Compact"/>
              <w:jc w:val="right"/>
            </w:pPr>
            <w:r>
              <w:t xml:space="preserve">14.26</w:t>
            </w:r>
          </w:p>
        </w:tc>
        <w:tc>
          <w:tcPr/>
          <w:p>
            <w:pPr>
              <w:pStyle w:val="Compact"/>
              <w:jc w:val="right"/>
            </w:pPr>
            <w:r>
              <w:t xml:space="preserve">1.86</w:t>
            </w:r>
          </w:p>
        </w:tc>
        <w:tc>
          <w:tcPr/>
          <w:p>
            <w:pPr>
              <w:pStyle w:val="Compact"/>
              <w:jc w:val="right"/>
            </w:pPr>
            <w:r>
              <w:t xml:space="preserve">49.37</w:t>
            </w:r>
          </w:p>
        </w:tc>
        <w:tc>
          <w:tcPr/>
          <w:p>
            <w:pPr>
              <w:pStyle w:val="Compact"/>
              <w:jc w:val="right"/>
            </w:pPr>
            <w:r>
              <w:t xml:space="preserve">14.05</w:t>
            </w:r>
          </w:p>
        </w:tc>
        <w:tc>
          <w:tcPr/>
          <w:p>
            <w:pPr>
              <w:pStyle w:val="Compact"/>
              <w:jc w:val="right"/>
            </w:pPr>
            <w:r>
              <w:t xml:space="preserve">50.72</w:t>
            </w:r>
          </w:p>
        </w:tc>
        <w:tc>
          <w:tcPr/>
          <w:p>
            <w:pPr>
              <w:pStyle w:val="Compact"/>
              <w:jc w:val="right"/>
            </w:pPr>
            <w:r>
              <w:t xml:space="preserve">4.92</w:t>
            </w:r>
          </w:p>
        </w:tc>
        <w:tc>
          <w:tcPr/>
          <w:p>
            <w:pPr>
              <w:pStyle w:val="Compact"/>
              <w:jc w:val="right"/>
            </w:pPr>
            <w:r>
              <w:t xml:space="preserve">60.15</w:t>
            </w:r>
          </w:p>
        </w:tc>
        <w:tc>
          <w:tcPr/>
          <w:p>
            <w:pPr>
              <w:pStyle w:val="Compact"/>
              <w:jc w:val="right"/>
            </w:pPr>
            <w:r>
              <w:t xml:space="preserve">301.5</w:t>
            </w:r>
          </w:p>
        </w:tc>
        <w:tc>
          <w:tcPr/>
          <w:p>
            <w:pPr>
              <w:pStyle w:val="Compact"/>
              <w:jc w:val="right"/>
            </w:pPr>
            <w:r>
              <w:t xml:space="preserve">2</w:t>
            </w:r>
          </w:p>
        </w:tc>
        <w:tc>
          <w:tcPr/>
          <w:p>
            <w:pPr>
              <w:pStyle w:val="Compact"/>
              <w:jc w:val="right"/>
            </w:pPr>
            <w:r>
              <w:t xml:space="preserve">8122</w:t>
            </w:r>
          </w:p>
        </w:tc>
        <w:tc>
          <w:tcPr/>
          <w:p>
            <w:pPr>
              <w:pStyle w:val="Compact"/>
              <w:jc w:val="left"/>
            </w:pPr>
            <w:r>
              <w:t xml:space="preserve">Decastar</w:t>
            </w:r>
          </w:p>
        </w:tc>
      </w:tr>
      <w:tr>
        <w:tc>
          <w:tcPr/>
          <w:p>
            <w:pPr>
              <w:pStyle w:val="Compact"/>
              <w:jc w:val="left"/>
            </w:pPr>
            <w:r>
              <w:t xml:space="preserve">KARPOV</w:t>
            </w:r>
          </w:p>
        </w:tc>
        <w:tc>
          <w:tcPr/>
          <w:p>
            <w:pPr>
              <w:pStyle w:val="Compact"/>
              <w:jc w:val="right"/>
            </w:pPr>
            <w:r>
              <w:t xml:space="preserve">11.02</w:t>
            </w:r>
          </w:p>
        </w:tc>
        <w:tc>
          <w:tcPr/>
          <w:p>
            <w:pPr>
              <w:pStyle w:val="Compact"/>
              <w:jc w:val="right"/>
            </w:pPr>
            <w:r>
              <w:t xml:space="preserve">7.30</w:t>
            </w:r>
          </w:p>
        </w:tc>
        <w:tc>
          <w:tcPr/>
          <w:p>
            <w:pPr>
              <w:pStyle w:val="Compact"/>
              <w:jc w:val="right"/>
            </w:pPr>
            <w:r>
              <w:t xml:space="preserve">14.77</w:t>
            </w:r>
          </w:p>
        </w:tc>
        <w:tc>
          <w:tcPr/>
          <w:p>
            <w:pPr>
              <w:pStyle w:val="Compact"/>
              <w:jc w:val="right"/>
            </w:pPr>
            <w:r>
              <w:t xml:space="preserve">2.04</w:t>
            </w:r>
          </w:p>
        </w:tc>
        <w:tc>
          <w:tcPr/>
          <w:p>
            <w:pPr>
              <w:pStyle w:val="Compact"/>
              <w:jc w:val="right"/>
            </w:pPr>
            <w:r>
              <w:t xml:space="preserve">48.37</w:t>
            </w:r>
          </w:p>
        </w:tc>
        <w:tc>
          <w:tcPr/>
          <w:p>
            <w:pPr>
              <w:pStyle w:val="Compact"/>
              <w:jc w:val="right"/>
            </w:pPr>
            <w:r>
              <w:t xml:space="preserve">14.09</w:t>
            </w:r>
          </w:p>
        </w:tc>
        <w:tc>
          <w:tcPr/>
          <w:p>
            <w:pPr>
              <w:pStyle w:val="Compact"/>
              <w:jc w:val="right"/>
            </w:pPr>
            <w:r>
              <w:t xml:space="preserve">48.95</w:t>
            </w:r>
          </w:p>
        </w:tc>
        <w:tc>
          <w:tcPr/>
          <w:p>
            <w:pPr>
              <w:pStyle w:val="Compact"/>
              <w:jc w:val="right"/>
            </w:pPr>
            <w:r>
              <w:t xml:space="preserve">4.92</w:t>
            </w:r>
          </w:p>
        </w:tc>
        <w:tc>
          <w:tcPr/>
          <w:p>
            <w:pPr>
              <w:pStyle w:val="Compact"/>
              <w:jc w:val="right"/>
            </w:pPr>
            <w:r>
              <w:t xml:space="preserve">50.31</w:t>
            </w:r>
          </w:p>
        </w:tc>
        <w:tc>
          <w:tcPr/>
          <w:p>
            <w:pPr>
              <w:pStyle w:val="Compact"/>
              <w:jc w:val="right"/>
            </w:pPr>
            <w:r>
              <w:t xml:space="preserve">300.2</w:t>
            </w:r>
          </w:p>
        </w:tc>
        <w:tc>
          <w:tcPr/>
          <w:p>
            <w:pPr>
              <w:pStyle w:val="Compact"/>
              <w:jc w:val="right"/>
            </w:pPr>
            <w:r>
              <w:t xml:space="preserve">3</w:t>
            </w:r>
          </w:p>
        </w:tc>
        <w:tc>
          <w:tcPr/>
          <w:p>
            <w:pPr>
              <w:pStyle w:val="Compact"/>
              <w:jc w:val="right"/>
            </w:pPr>
            <w:r>
              <w:t xml:space="preserve">8099</w:t>
            </w:r>
          </w:p>
        </w:tc>
        <w:tc>
          <w:tcPr/>
          <w:p>
            <w:pPr>
              <w:pStyle w:val="Compact"/>
              <w:jc w:val="left"/>
            </w:pPr>
            <w:r>
              <w:t xml:space="preserve">Decastar</w:t>
            </w:r>
          </w:p>
        </w:tc>
      </w:tr>
      <w:tr>
        <w:tc>
          <w:tcPr/>
          <w:p>
            <w:pPr>
              <w:pStyle w:val="Compact"/>
              <w:jc w:val="left"/>
            </w:pPr>
            <w:r>
              <w:t xml:space="preserve">BERNARD</w:t>
            </w:r>
          </w:p>
        </w:tc>
        <w:tc>
          <w:tcPr/>
          <w:p>
            <w:pPr>
              <w:pStyle w:val="Compact"/>
              <w:jc w:val="right"/>
            </w:pPr>
            <w:r>
              <w:t xml:space="preserve">11.02</w:t>
            </w:r>
          </w:p>
        </w:tc>
        <w:tc>
          <w:tcPr/>
          <w:p>
            <w:pPr>
              <w:pStyle w:val="Compact"/>
              <w:jc w:val="right"/>
            </w:pPr>
            <w:r>
              <w:t xml:space="preserve">7.23</w:t>
            </w:r>
          </w:p>
        </w:tc>
        <w:tc>
          <w:tcPr/>
          <w:p>
            <w:pPr>
              <w:pStyle w:val="Compact"/>
              <w:jc w:val="right"/>
            </w:pPr>
            <w:r>
              <w:t xml:space="preserve">14.25</w:t>
            </w:r>
          </w:p>
        </w:tc>
        <w:tc>
          <w:tcPr/>
          <w:p>
            <w:pPr>
              <w:pStyle w:val="Compact"/>
              <w:jc w:val="right"/>
            </w:pPr>
            <w:r>
              <w:t xml:space="preserve">1.92</w:t>
            </w:r>
          </w:p>
        </w:tc>
        <w:tc>
          <w:tcPr/>
          <w:p>
            <w:pPr>
              <w:pStyle w:val="Compact"/>
              <w:jc w:val="right"/>
            </w:pPr>
            <w:r>
              <w:t xml:space="preserve">48.93</w:t>
            </w:r>
          </w:p>
        </w:tc>
        <w:tc>
          <w:tcPr/>
          <w:p>
            <w:pPr>
              <w:pStyle w:val="Compact"/>
              <w:jc w:val="right"/>
            </w:pPr>
            <w:r>
              <w:t xml:space="preserve">14.99</w:t>
            </w:r>
          </w:p>
        </w:tc>
        <w:tc>
          <w:tcPr/>
          <w:p>
            <w:pPr>
              <w:pStyle w:val="Compact"/>
              <w:jc w:val="right"/>
            </w:pPr>
            <w:r>
              <w:t xml:space="preserve">40.87</w:t>
            </w:r>
          </w:p>
        </w:tc>
        <w:tc>
          <w:tcPr/>
          <w:p>
            <w:pPr>
              <w:pStyle w:val="Compact"/>
              <w:jc w:val="right"/>
            </w:pPr>
            <w:r>
              <w:t xml:space="preserve">5.32</w:t>
            </w:r>
          </w:p>
        </w:tc>
        <w:tc>
          <w:tcPr/>
          <w:p>
            <w:pPr>
              <w:pStyle w:val="Compact"/>
              <w:jc w:val="right"/>
            </w:pPr>
            <w:r>
              <w:t xml:space="preserve">62.77</w:t>
            </w:r>
          </w:p>
        </w:tc>
        <w:tc>
          <w:tcPr/>
          <w:p>
            <w:pPr>
              <w:pStyle w:val="Compact"/>
              <w:jc w:val="right"/>
            </w:pPr>
            <w:r>
              <w:t xml:space="preserve">280.1</w:t>
            </w:r>
          </w:p>
        </w:tc>
        <w:tc>
          <w:tcPr/>
          <w:p>
            <w:pPr>
              <w:pStyle w:val="Compact"/>
              <w:jc w:val="right"/>
            </w:pPr>
            <w:r>
              <w:t xml:space="preserve">4</w:t>
            </w:r>
          </w:p>
        </w:tc>
        <w:tc>
          <w:tcPr/>
          <w:p>
            <w:pPr>
              <w:pStyle w:val="Compact"/>
              <w:jc w:val="right"/>
            </w:pPr>
            <w:r>
              <w:t xml:space="preserve">8067</w:t>
            </w:r>
          </w:p>
        </w:tc>
        <w:tc>
          <w:tcPr/>
          <w:p>
            <w:pPr>
              <w:pStyle w:val="Compact"/>
              <w:jc w:val="left"/>
            </w:pPr>
            <w:r>
              <w:t xml:space="preserve">Decastar</w:t>
            </w:r>
          </w:p>
        </w:tc>
      </w:tr>
      <w:tr>
        <w:tc>
          <w:tcPr/>
          <w:p>
            <w:pPr>
              <w:pStyle w:val="Compact"/>
              <w:jc w:val="left"/>
            </w:pPr>
            <w:r>
              <w:t xml:space="preserve">YURKOV</w:t>
            </w:r>
          </w:p>
        </w:tc>
        <w:tc>
          <w:tcPr/>
          <w:p>
            <w:pPr>
              <w:pStyle w:val="Compact"/>
              <w:jc w:val="right"/>
            </w:pPr>
            <w:r>
              <w:t xml:space="preserve">11.34</w:t>
            </w:r>
          </w:p>
        </w:tc>
        <w:tc>
          <w:tcPr/>
          <w:p>
            <w:pPr>
              <w:pStyle w:val="Compact"/>
              <w:jc w:val="right"/>
            </w:pPr>
            <w:r>
              <w:t xml:space="preserve">7.09</w:t>
            </w:r>
          </w:p>
        </w:tc>
        <w:tc>
          <w:tcPr/>
          <w:p>
            <w:pPr>
              <w:pStyle w:val="Compact"/>
              <w:jc w:val="right"/>
            </w:pPr>
            <w:r>
              <w:t xml:space="preserve">15.19</w:t>
            </w:r>
          </w:p>
        </w:tc>
        <w:tc>
          <w:tcPr/>
          <w:p>
            <w:pPr>
              <w:pStyle w:val="Compact"/>
              <w:jc w:val="right"/>
            </w:pPr>
            <w:r>
              <w:t xml:space="preserve">2.10</w:t>
            </w:r>
          </w:p>
        </w:tc>
        <w:tc>
          <w:tcPr/>
          <w:p>
            <w:pPr>
              <w:pStyle w:val="Compact"/>
              <w:jc w:val="right"/>
            </w:pPr>
            <w:r>
              <w:t xml:space="preserve">50.42</w:t>
            </w:r>
          </w:p>
        </w:tc>
        <w:tc>
          <w:tcPr/>
          <w:p>
            <w:pPr>
              <w:pStyle w:val="Compact"/>
              <w:jc w:val="right"/>
            </w:pPr>
            <w:r>
              <w:t xml:space="preserve">15.31</w:t>
            </w:r>
          </w:p>
        </w:tc>
        <w:tc>
          <w:tcPr/>
          <w:p>
            <w:pPr>
              <w:pStyle w:val="Compact"/>
              <w:jc w:val="right"/>
            </w:pPr>
            <w:r>
              <w:t xml:space="preserve">46.26</w:t>
            </w:r>
          </w:p>
        </w:tc>
        <w:tc>
          <w:tcPr/>
          <w:p>
            <w:pPr>
              <w:pStyle w:val="Compact"/>
              <w:jc w:val="right"/>
            </w:pPr>
            <w:r>
              <w:t xml:space="preserve">4.72</w:t>
            </w:r>
          </w:p>
        </w:tc>
        <w:tc>
          <w:tcPr/>
          <w:p>
            <w:pPr>
              <w:pStyle w:val="Compact"/>
              <w:jc w:val="right"/>
            </w:pPr>
            <w:r>
              <w:t xml:space="preserve">63.44</w:t>
            </w:r>
          </w:p>
        </w:tc>
        <w:tc>
          <w:tcPr/>
          <w:p>
            <w:pPr>
              <w:pStyle w:val="Compact"/>
              <w:jc w:val="right"/>
            </w:pPr>
            <w:r>
              <w:t xml:space="preserve">276.4</w:t>
            </w:r>
          </w:p>
        </w:tc>
        <w:tc>
          <w:tcPr/>
          <w:p>
            <w:pPr>
              <w:pStyle w:val="Compact"/>
              <w:jc w:val="right"/>
            </w:pPr>
            <w:r>
              <w:t xml:space="preserve">5</w:t>
            </w:r>
          </w:p>
        </w:tc>
        <w:tc>
          <w:tcPr/>
          <w:p>
            <w:pPr>
              <w:pStyle w:val="Compact"/>
              <w:jc w:val="right"/>
            </w:pPr>
            <w:r>
              <w:t xml:space="preserve">8036</w:t>
            </w:r>
          </w:p>
        </w:tc>
        <w:tc>
          <w:tcPr/>
          <w:p>
            <w:pPr>
              <w:pStyle w:val="Compact"/>
              <w:jc w:val="left"/>
            </w:pPr>
            <w:r>
              <w:t xml:space="preserve">Decastar</w:t>
            </w:r>
          </w:p>
        </w:tc>
      </w:tr>
      <w:tr>
        <w:tc>
          <w:tcPr/>
          <w:p>
            <w:pPr>
              <w:pStyle w:val="Compact"/>
              <w:jc w:val="left"/>
            </w:pPr>
            <w:r>
              <w:t xml:space="preserve">WARNERS</w:t>
            </w:r>
          </w:p>
        </w:tc>
        <w:tc>
          <w:tcPr/>
          <w:p>
            <w:pPr>
              <w:pStyle w:val="Compact"/>
              <w:jc w:val="right"/>
            </w:pPr>
            <w:r>
              <w:t xml:space="preserve">11.11</w:t>
            </w:r>
          </w:p>
        </w:tc>
        <w:tc>
          <w:tcPr/>
          <w:p>
            <w:pPr>
              <w:pStyle w:val="Compact"/>
              <w:jc w:val="right"/>
            </w:pPr>
            <w:r>
              <w:t xml:space="preserve">7.60</w:t>
            </w:r>
          </w:p>
        </w:tc>
        <w:tc>
          <w:tcPr/>
          <w:p>
            <w:pPr>
              <w:pStyle w:val="Compact"/>
              <w:jc w:val="right"/>
            </w:pPr>
            <w:r>
              <w:t xml:space="preserve">14.31</w:t>
            </w:r>
          </w:p>
        </w:tc>
        <w:tc>
          <w:tcPr/>
          <w:p>
            <w:pPr>
              <w:pStyle w:val="Compact"/>
              <w:jc w:val="right"/>
            </w:pPr>
            <w:r>
              <w:t xml:space="preserve">1.98</w:t>
            </w:r>
          </w:p>
        </w:tc>
        <w:tc>
          <w:tcPr/>
          <w:p>
            <w:pPr>
              <w:pStyle w:val="Compact"/>
              <w:jc w:val="right"/>
            </w:pPr>
            <w:r>
              <w:t xml:space="preserve">48.68</w:t>
            </w:r>
          </w:p>
        </w:tc>
        <w:tc>
          <w:tcPr/>
          <w:p>
            <w:pPr>
              <w:pStyle w:val="Compact"/>
              <w:jc w:val="right"/>
            </w:pPr>
            <w:r>
              <w:t xml:space="preserve">14.23</w:t>
            </w:r>
          </w:p>
        </w:tc>
        <w:tc>
          <w:tcPr/>
          <w:p>
            <w:pPr>
              <w:pStyle w:val="Compact"/>
              <w:jc w:val="right"/>
            </w:pPr>
            <w:r>
              <w:t xml:space="preserve">41.10</w:t>
            </w:r>
          </w:p>
        </w:tc>
        <w:tc>
          <w:tcPr/>
          <w:p>
            <w:pPr>
              <w:pStyle w:val="Compact"/>
              <w:jc w:val="right"/>
            </w:pPr>
            <w:r>
              <w:t xml:space="preserve">4.92</w:t>
            </w:r>
          </w:p>
        </w:tc>
        <w:tc>
          <w:tcPr/>
          <w:p>
            <w:pPr>
              <w:pStyle w:val="Compact"/>
              <w:jc w:val="right"/>
            </w:pPr>
            <w:r>
              <w:t xml:space="preserve">51.77</w:t>
            </w:r>
          </w:p>
        </w:tc>
        <w:tc>
          <w:tcPr/>
          <w:p>
            <w:pPr>
              <w:pStyle w:val="Compact"/>
              <w:jc w:val="right"/>
            </w:pPr>
            <w:r>
              <w:t xml:space="preserve">278.1</w:t>
            </w:r>
          </w:p>
        </w:tc>
        <w:tc>
          <w:tcPr/>
          <w:p>
            <w:pPr>
              <w:pStyle w:val="Compact"/>
              <w:jc w:val="right"/>
            </w:pPr>
            <w:r>
              <w:t xml:space="preserve">6</w:t>
            </w:r>
          </w:p>
        </w:tc>
        <w:tc>
          <w:tcPr/>
          <w:p>
            <w:pPr>
              <w:pStyle w:val="Compact"/>
              <w:jc w:val="right"/>
            </w:pPr>
            <w:r>
              <w:t xml:space="preserve">8030</w:t>
            </w:r>
          </w:p>
        </w:tc>
        <w:tc>
          <w:tcPr/>
          <w:p>
            <w:pPr>
              <w:pStyle w:val="Compact"/>
              <w:jc w:val="left"/>
            </w:pPr>
            <w:r>
              <w:t xml:space="preserve">Decastar</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en composantes principales sur le jeu de données Decathlon</dc:title>
  <dc:creator>Axel-Cleris Gailloty</dc:creator>
  <cp:keywords/>
  <dcterms:created xsi:type="dcterms:W3CDTF">2023-03-05T17:54:12Z</dcterms:created>
  <dcterms:modified xsi:type="dcterms:W3CDTF">2023-03-05T17:54:12Z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