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Démo</w:t>
      </w:r>
      <w:r>
        <w:t xml:space="preserve"> </w:t>
      </w:r>
      <w:r>
        <w:t xml:space="preserve">Rmarkdown</w:t>
      </w:r>
    </w:p>
    <w:p>
      <w:pPr>
        <w:pStyle w:val="Date"/>
      </w:pPr>
      <w:r>
        <w:t xml:space="preserve">2024-02-09</w:t>
      </w:r>
    </w:p>
    <w:bookmarkStart w:id="20" w:name="rmarkdown-cest-quoi"/>
    <w:p>
      <w:pPr>
        <w:pStyle w:val="Heading1"/>
      </w:pPr>
      <w:r>
        <w:t xml:space="preserve">Rmarkdown, c’est quoi ?</w:t>
      </w:r>
    </w:p>
    <w:p>
      <w:pPr>
        <w:pStyle w:val="FirstParagraph"/>
      </w:pPr>
      <w:r>
        <w:t xml:space="preserve">R Markdown est une extension de Markdown (une syntaxe pour écrire un document) qui permet d’intégrer du code R, des résultats de code et du texte formaté dans un seul document. Cela en fait un outil puissant pour la création de rapports dynamiques, de présentations, de documents de recherche et bien plus encore.</w:t>
      </w:r>
    </w:p>
    <w:p>
      <w:pPr>
        <w:pStyle w:val="BodyText"/>
      </w:pPr>
      <w:r>
        <w:t xml:space="preserve">Par exemple, supposons que nous ayons une liste de tailles d’individus. Nous aimerons calculer la moyenne, la variance et l’écart-type et afficher quelques graphiques sans sortir de RStudio.</w:t>
      </w:r>
      <w:r>
        <w:t xml:space="preserve"> </w:t>
      </w:r>
      <w:r>
        <w:t xml:space="preserve">A chaque fois nous voulons aussi commenter les résultats.</w:t>
      </w:r>
    </w:p>
    <w:bookmarkEnd w:id="20"/>
    <w:bookmarkStart w:id="27" w:name="analyse-statistique-simple"/>
    <w:p>
      <w:pPr>
        <w:pStyle w:val="Heading1"/>
      </w:pPr>
      <w:r>
        <w:t xml:space="preserve">Analyse statistique simple</w:t>
      </w:r>
    </w:p>
    <w:bookmarkStart w:id="21" w:name="charger-les-données"/>
    <w:p>
      <w:pPr>
        <w:pStyle w:val="Heading2"/>
      </w:pPr>
      <w:r>
        <w:t xml:space="preserve">Charger les données</w:t>
      </w:r>
    </w:p>
    <w:p>
      <w:pPr>
        <w:pStyle w:val="FirstParagraph"/>
      </w:pPr>
      <w:r>
        <w:t xml:space="preserve">Nous allons charger les données via la ligne de code R suivant.</w:t>
      </w:r>
    </w:p>
    <w:p>
      <w:pPr>
        <w:pStyle w:val="SourceCode"/>
      </w:pPr>
      <w:r>
        <w:rPr>
          <w:rStyle w:val="NormalTok"/>
        </w:rPr>
        <w:t xml:space="preserve">tailles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1.81</w:t>
      </w:r>
      <w:r>
        <w:rPr>
          <w:rStyle w:val="NormalTok"/>
        </w:rPr>
        <w:t xml:space="preserve">, </w:t>
      </w:r>
      <w:r>
        <w:rPr>
          <w:rStyle w:val="FloatTok"/>
        </w:rPr>
        <w:t xml:space="preserve">1.51</w:t>
      </w:r>
      <w:r>
        <w:rPr>
          <w:rStyle w:val="NormalTok"/>
        </w:rPr>
        <w:t xml:space="preserve">, </w:t>
      </w:r>
      <w:r>
        <w:rPr>
          <w:rStyle w:val="FloatTok"/>
        </w:rPr>
        <w:t xml:space="preserve">1.90</w:t>
      </w:r>
      <w:r>
        <w:rPr>
          <w:rStyle w:val="NormalTok"/>
        </w:rPr>
        <w:t xml:space="preserve">, </w:t>
      </w:r>
      <w:r>
        <w:rPr>
          <w:rStyle w:val="FloatTok"/>
        </w:rPr>
        <w:t xml:space="preserve">1.65</w:t>
      </w:r>
      <w:r>
        <w:rPr>
          <w:rStyle w:val="NormalTok"/>
        </w:rPr>
        <w:t xml:space="preserve">, </w:t>
      </w:r>
      <w:r>
        <w:rPr>
          <w:rStyle w:val="FloatTok"/>
        </w:rPr>
        <w:t xml:space="preserve">1.78</w:t>
      </w:r>
      <w:r>
        <w:rPr>
          <w:rStyle w:val="NormalTok"/>
        </w:rPr>
        <w:t xml:space="preserve">, </w:t>
      </w:r>
      <w:r>
        <w:rPr>
          <w:rStyle w:val="FloatTok"/>
        </w:rPr>
        <w:t xml:space="preserve">1.88</w:t>
      </w:r>
      <w:r>
        <w:rPr>
          <w:rStyle w:val="NormalTok"/>
        </w:rPr>
        <w:t xml:space="preserve">, </w:t>
      </w:r>
      <w:r>
        <w:rPr>
          <w:rStyle w:val="FloatTok"/>
        </w:rPr>
        <w:t xml:space="preserve">1.92</w:t>
      </w:r>
      <w:r>
        <w:rPr>
          <w:rStyle w:val="NormalTok"/>
        </w:rPr>
        <w:t xml:space="preserve">, </w:t>
      </w:r>
      <w:r>
        <w:rPr>
          <w:rStyle w:val="FloatTok"/>
        </w:rPr>
        <w:t xml:space="preserve">1.71</w:t>
      </w:r>
      <w:r>
        <w:rPr>
          <w:rStyle w:val="NormalTok"/>
        </w:rPr>
        <w:t xml:space="preserve">, </w:t>
      </w:r>
      <w:r>
        <w:rPr>
          <w:rStyle w:val="FloatTok"/>
        </w:rPr>
        <w:t xml:space="preserve">1.68</w:t>
      </w:r>
      <w:r>
        <w:rPr>
          <w:rStyle w:val="NormalTok"/>
        </w:rPr>
        <w:t xml:space="preserve">)</w:t>
      </w:r>
    </w:p>
    <w:bookmarkEnd w:id="21"/>
    <w:bookmarkStart w:id="22" w:name="calculer-la-moyenne-des-tailles"/>
    <w:p>
      <w:pPr>
        <w:pStyle w:val="Heading2"/>
      </w:pPr>
      <w:r>
        <w:t xml:space="preserve">Calculer la moyenne des tailles</w:t>
      </w:r>
    </w:p>
    <w:p>
      <w:pPr>
        <w:pStyle w:val="FirstParagraph"/>
      </w:pPr>
      <w:r>
        <w:t xml:space="preserve">Pour calculer la moyenne, nous utilisons la fonction</w:t>
      </w:r>
      <w:r>
        <w:t xml:space="preserve"> </w:t>
      </w:r>
      <w:r>
        <w:rPr>
          <w:iCs/>
          <w:i/>
        </w:rPr>
        <w:t xml:space="preserve">mean</w:t>
      </w:r>
      <w:r>
        <w:t xml:space="preserve"> </w:t>
      </w:r>
      <w:r>
        <w:t xml:space="preserve">de R.</w:t>
      </w:r>
    </w:p>
    <w:p>
      <w:pPr>
        <w:pStyle w:val="SourceCode"/>
      </w:pPr>
      <w:r>
        <w:rPr>
          <w:rStyle w:val="FunctionTok"/>
        </w:rPr>
        <w:t xml:space="preserve">mean</w:t>
      </w:r>
      <w:r>
        <w:rPr>
          <w:rStyle w:val="NormalTok"/>
        </w:rPr>
        <w:t xml:space="preserve">(tailles)</w:t>
      </w:r>
    </w:p>
    <w:p>
      <w:pPr>
        <w:pStyle w:val="SourceCode"/>
      </w:pPr>
      <w:r>
        <w:rPr>
          <w:rStyle w:val="VerbatimChar"/>
        </w:rPr>
        <w:t xml:space="preserve">## [1] 1.76</w:t>
      </w:r>
    </w:p>
    <w:p>
      <w:pPr>
        <w:pStyle w:val="FirstParagraph"/>
      </w:pPr>
      <w:r>
        <w:t xml:space="preserve">Nous voyons que la moyenne est de 1.76m.</w:t>
      </w:r>
    </w:p>
    <w:bookmarkEnd w:id="22"/>
    <w:bookmarkStart w:id="23" w:name="calculer-la-variance"/>
    <w:p>
      <w:pPr>
        <w:pStyle w:val="Heading2"/>
      </w:pPr>
      <w:r>
        <w:t xml:space="preserve">Calculer la variance</w:t>
      </w:r>
    </w:p>
    <w:p>
      <w:pPr>
        <w:pStyle w:val="FirstParagraph"/>
      </w:pPr>
      <w:r>
        <w:t xml:space="preserve">Nous pouvons aussi calculer la variance en utilisant la fonction var de R.</w:t>
      </w:r>
    </w:p>
    <w:p>
      <w:pPr>
        <w:pStyle w:val="SourceCode"/>
      </w:pPr>
      <w:r>
        <w:rPr>
          <w:rStyle w:val="FunctionTok"/>
        </w:rPr>
        <w:t xml:space="preserve">var</w:t>
      </w:r>
      <w:r>
        <w:rPr>
          <w:rStyle w:val="NormalTok"/>
        </w:rPr>
        <w:t xml:space="preserve">(tailles)</w:t>
      </w:r>
    </w:p>
    <w:p>
      <w:pPr>
        <w:pStyle w:val="SourceCode"/>
      </w:pPr>
      <w:r>
        <w:rPr>
          <w:rStyle w:val="VerbatimChar"/>
        </w:rPr>
        <w:t xml:space="preserve">## [1] 0.01825</w:t>
      </w:r>
    </w:p>
    <w:p>
      <w:pPr>
        <w:pStyle w:val="FirstParagraph"/>
      </w:pPr>
      <w:r>
        <w:t xml:space="preserve">La variance est égale à 0.01825 m.</w:t>
      </w:r>
    </w:p>
    <w:bookmarkEnd w:id="23"/>
    <w:bookmarkStart w:id="26" w:name="calculer-lécart-type"/>
    <w:p>
      <w:pPr>
        <w:pStyle w:val="Heading2"/>
      </w:pPr>
      <w:r>
        <w:t xml:space="preserve">Calculer l’écart-type</w:t>
      </w:r>
    </w:p>
    <w:bookmarkStart w:id="24" w:name="calculer-lécart-type-grâce-à-la-variance"/>
    <w:p>
      <w:pPr>
        <w:pStyle w:val="Heading3"/>
      </w:pPr>
      <w:r>
        <w:t xml:space="preserve">Calculer l’écart-type grâce à la variance</w:t>
      </w:r>
    </w:p>
    <w:p>
      <w:pPr>
        <w:pStyle w:val="FirstParagraph"/>
      </w:pPr>
      <w:r>
        <w:t xml:space="preserve">Nous pouvons déduire l’écart-type à l’aide de la variance en calculant la racine carrée de la variance.</w:t>
      </w:r>
    </w:p>
    <w:p>
      <w:pPr>
        <w:pStyle w:val="SourceCode"/>
      </w:pPr>
      <w:r>
        <w:rPr>
          <w:rStyle w:val="FunctionTok"/>
        </w:rPr>
        <w:t xml:space="preserve">sqrt</w:t>
      </w:r>
      <w:r>
        <w:rPr>
          <w:rStyle w:val="NormalTok"/>
        </w:rPr>
        <w:t xml:space="preserve">(</w:t>
      </w:r>
      <w:r>
        <w:rPr>
          <w:rStyle w:val="FloatTok"/>
        </w:rPr>
        <w:t xml:space="preserve">0.01825</w:t>
      </w:r>
      <w:r>
        <w:rPr>
          <w:rStyle w:val="NormalTok"/>
        </w:rPr>
        <w:t xml:space="preserve">)</w:t>
      </w:r>
    </w:p>
    <w:p>
      <w:pPr>
        <w:pStyle w:val="SourceCode"/>
      </w:pPr>
      <w:r>
        <w:rPr>
          <w:rStyle w:val="VerbatimChar"/>
        </w:rPr>
        <w:t xml:space="preserve">## [1] 0.1350926</w:t>
      </w:r>
    </w:p>
    <w:p>
      <w:pPr>
        <w:pStyle w:val="FirstParagraph"/>
      </w:pPr>
      <w:r>
        <w:t xml:space="preserve">Nous pouvons aussi sauvegarder temporairement la variance dans une</w:t>
      </w:r>
      <w:r>
        <w:t xml:space="preserve"> </w:t>
      </w:r>
      <w:r>
        <w:rPr>
          <w:bCs/>
          <w:b/>
        </w:rPr>
        <w:t xml:space="preserve">variable</w:t>
      </w:r>
      <w:r>
        <w:t xml:space="preserve"> </w:t>
      </w:r>
      <w:r>
        <w:t xml:space="preserve">puis calculer l’écart-type à partir de cette variable.</w:t>
      </w:r>
    </w:p>
    <w:p>
      <w:pPr>
        <w:pStyle w:val="SourceCode"/>
      </w:pPr>
      <w:r>
        <w:rPr>
          <w:rStyle w:val="NormalTok"/>
        </w:rPr>
        <w:t xml:space="preserve">var_tailles </w:t>
      </w:r>
      <w:r>
        <w:rPr>
          <w:rStyle w:val="OtherTok"/>
        </w:rPr>
        <w:t xml:space="preserve">=</w:t>
      </w:r>
      <w:r>
        <w:rPr>
          <w:rStyle w:val="NormalTok"/>
        </w:rPr>
        <w:t xml:space="preserve"> </w:t>
      </w:r>
      <w:r>
        <w:rPr>
          <w:rStyle w:val="FunctionTok"/>
        </w:rPr>
        <w:t xml:space="preserve">var</w:t>
      </w:r>
      <w:r>
        <w:rPr>
          <w:rStyle w:val="NormalTok"/>
        </w:rPr>
        <w:t xml:space="preserve">(tailles)</w:t>
      </w:r>
      <w:r>
        <w:br/>
      </w:r>
      <w:r>
        <w:rPr>
          <w:rStyle w:val="FunctionTok"/>
        </w:rPr>
        <w:t xml:space="preserve">sqrt</w:t>
      </w:r>
      <w:r>
        <w:rPr>
          <w:rStyle w:val="NormalTok"/>
        </w:rPr>
        <w:t xml:space="preserve">(var_tailles)</w:t>
      </w:r>
    </w:p>
    <w:p>
      <w:pPr>
        <w:pStyle w:val="SourceCode"/>
      </w:pPr>
      <w:r>
        <w:rPr>
          <w:rStyle w:val="VerbatimChar"/>
        </w:rPr>
        <w:t xml:space="preserve">## [1] 0.1350926</w:t>
      </w:r>
    </w:p>
    <w:p>
      <w:pPr>
        <w:pStyle w:val="FirstParagraph"/>
      </w:pPr>
      <w:r>
        <w:t xml:space="preserve">Nous obtenons le même résultat dans les deux cas précédents.</w:t>
      </w:r>
    </w:p>
    <w:bookmarkEnd w:id="24"/>
    <w:bookmarkStart w:id="25" w:name="X3418bc48a6c18eccac828dcb7b66f2503a50b17"/>
    <w:p>
      <w:pPr>
        <w:pStyle w:val="Heading3"/>
      </w:pPr>
      <w:r>
        <w:t xml:space="preserve">Calculer l’écart-type grâce à une fonction R</w:t>
      </w:r>
    </w:p>
    <w:p>
      <w:pPr>
        <w:pStyle w:val="FirstParagraph"/>
      </w:pPr>
      <w:r>
        <w:t xml:space="preserve">La fonction</w:t>
      </w:r>
      <w:r>
        <w:t xml:space="preserve"> </w:t>
      </w:r>
      <w:r>
        <w:rPr>
          <w:iCs/>
          <w:i/>
        </w:rPr>
        <w:t xml:space="preserve">sd</w:t>
      </w:r>
      <w:r>
        <w:t xml:space="preserve"> </w:t>
      </w:r>
      <w:r>
        <w:t xml:space="preserve">nous permet aussi de calculer l’écart-type directement à partir de la liste initiale des tailles.</w:t>
      </w:r>
    </w:p>
    <w:p>
      <w:pPr>
        <w:pStyle w:val="SourceCode"/>
      </w:pPr>
      <w:r>
        <w:rPr>
          <w:rStyle w:val="FunctionTok"/>
        </w:rPr>
        <w:t xml:space="preserve">sd</w:t>
      </w:r>
      <w:r>
        <w:rPr>
          <w:rStyle w:val="NormalTok"/>
        </w:rPr>
        <w:t xml:space="preserve">(tailles)</w:t>
      </w:r>
    </w:p>
    <w:p>
      <w:pPr>
        <w:pStyle w:val="SourceCode"/>
      </w:pPr>
      <w:r>
        <w:rPr>
          <w:rStyle w:val="VerbatimChar"/>
        </w:rPr>
        <w:t xml:space="preserve">## [1] 0.1350926</w:t>
      </w:r>
    </w:p>
    <w:bookmarkEnd w:id="25"/>
    <w:bookmarkEnd w:id="26"/>
    <w:bookmarkEnd w:id="27"/>
    <w:bookmarkStart w:id="31" w:name="graphiques-et-visualisation"/>
    <w:p>
      <w:pPr>
        <w:pStyle w:val="Heading1"/>
      </w:pPr>
      <w:r>
        <w:t xml:space="preserve">Graphiques et visualisation</w:t>
      </w:r>
    </w:p>
    <w:p>
      <w:pPr>
        <w:pStyle w:val="FirstParagraph"/>
      </w:pPr>
      <w:r>
        <w:t xml:space="preserve">Dans un document R Markdown nous pouvons aussi représenter des graphiques.</w:t>
      </w:r>
    </w:p>
    <w:p>
      <w:pPr>
        <w:pStyle w:val="SourceCode"/>
      </w:pPr>
      <w:r>
        <w:rPr>
          <w:rStyle w:val="NormalTok"/>
        </w:rPr>
        <w:t xml:space="preserve">titre </w:t>
      </w:r>
      <w:r>
        <w:rPr>
          <w:rStyle w:val="OtherTok"/>
        </w:rPr>
        <w:t xml:space="preserve">=</w:t>
      </w:r>
      <w:r>
        <w:rPr>
          <w:rStyle w:val="NormalTok"/>
        </w:rPr>
        <w:t xml:space="preserve"> </w:t>
      </w:r>
      <w:r>
        <w:rPr>
          <w:rStyle w:val="StringTok"/>
        </w:rPr>
        <w:t xml:space="preserve">"Histogramme des tailles"</w:t>
      </w:r>
      <w:r>
        <w:br/>
      </w:r>
      <w:r>
        <w:rPr>
          <w:rStyle w:val="NormalTok"/>
        </w:rPr>
        <w:t xml:space="preserve">axe_x </w:t>
      </w:r>
      <w:r>
        <w:rPr>
          <w:rStyle w:val="OtherTok"/>
        </w:rPr>
        <w:t xml:space="preserve">=</w:t>
      </w:r>
      <w:r>
        <w:rPr>
          <w:rStyle w:val="NormalTok"/>
        </w:rPr>
        <w:t xml:space="preserve"> </w:t>
      </w:r>
      <w:r>
        <w:rPr>
          <w:rStyle w:val="StringTok"/>
        </w:rPr>
        <w:t xml:space="preserve">"Tailles des individus (en mètre)"</w:t>
      </w:r>
      <w:r>
        <w:br/>
      </w:r>
      <w:r>
        <w:rPr>
          <w:rStyle w:val="FunctionTok"/>
        </w:rPr>
        <w:t xml:space="preserve">hist</w:t>
      </w:r>
      <w:r>
        <w:rPr>
          <w:rStyle w:val="NormalTok"/>
        </w:rPr>
        <w:t xml:space="preserve">(tailles, </w:t>
      </w:r>
      <w:r>
        <w:rPr>
          <w:rStyle w:val="AttributeTok"/>
        </w:rPr>
        <w:t xml:space="preserve">main =</w:t>
      </w:r>
      <w:r>
        <w:rPr>
          <w:rStyle w:val="NormalTok"/>
        </w:rPr>
        <w:t xml:space="preserve"> titre, </w:t>
      </w:r>
      <w:r>
        <w:rPr>
          <w:rStyle w:val="AttributeTok"/>
        </w:rPr>
        <w:t xml:space="preserve">xlab =</w:t>
      </w:r>
      <w:r>
        <w:rPr>
          <w:rStyle w:val="NormalTok"/>
        </w:rPr>
        <w:t xml:space="preserve"> axe_x)</w:t>
      </w:r>
    </w:p>
    <w:p>
      <w:pPr>
        <w:pStyle w:val="FirstParagraph"/>
      </w:pPr>
      <w:r>
        <w:drawing>
          <wp:inline>
            <wp:extent cx="4620126" cy="3696101"/>
            <wp:effectExtent b="0" l="0" r="0" t="0"/>
            <wp:docPr descr="" title="" id="29" name="Picture"/>
            <a:graphic>
              <a:graphicData uri="http://schemas.openxmlformats.org/drawingml/2006/picture">
                <pic:pic>
                  <pic:nvPicPr>
                    <pic:cNvPr descr="demo-Rmarkdown_files/figure-docx/unnamed-chunk-7-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2" w:name="conclusion"/>
    <w:p>
      <w:pPr>
        <w:pStyle w:val="Heading1"/>
      </w:pPr>
      <w:r>
        <w:t xml:space="preserve">Conclusion</w:t>
      </w:r>
    </w:p>
    <w:p>
      <w:pPr>
        <w:pStyle w:val="FirstParagraph"/>
      </w:pPr>
      <w:r>
        <w:t xml:space="preserve">Nous avons la possibilité d’exporter cette analyse dans une page HTML ou un document Word. Il suffit de cliquer sur le bouton Knit.</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Démo Rmarkdown</dc:title>
  <dc:creator/>
  <cp:keywords/>
  <dcterms:created xsi:type="dcterms:W3CDTF">2024-02-09T08:37:29Z</dcterms:created>
  <dcterms:modified xsi:type="dcterms:W3CDTF">2024-02-09T08:37:29Z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2024-02-09</vt:lpwstr>
  </property>
  <property fmtid="{D5CDD505-2E9C-101B-9397-08002B2CF9AE}" pid="3" name="output">
    <vt:lpwstr/>
  </property>
</Properties>
</file>