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Correspondances</w:t>
      </w:r>
    </w:p>
    <w:p>
      <w:pPr>
        <w:pStyle w:val="Author"/>
      </w:pPr>
      <w:r>
        <w:t xml:space="preserve">Jeu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naissances</w:t>
      </w:r>
    </w:p>
    <w:p>
      <w:pPr>
        <w:pStyle w:val="FirstParagraph"/>
      </w:pPr>
      <w:r>
        <w:t xml:space="preserve">Ce jeu de données contient 9 lignes et 11 colonnes.</w:t>
      </w:r>
    </w:p>
    <w:p>
      <w:r>
        <w:pict>
          <v:rect style="width:0;height:1.5pt" o:hralign="center" o:hrstd="t" o:hr="t"/>
        </w:pict>
      </w:r>
    </w:p>
    <w:bookmarkStart w:id="20" w:name="observation-dindividus-extrêmes"/>
    <w:p>
      <w:pPr>
        <w:pStyle w:val="Heading3"/>
      </w:pPr>
      <w:r>
        <w:t xml:space="preserve">1. Observation d’individus extrêmes</w:t>
      </w:r>
    </w:p>
    <w:p>
      <w:pPr>
        <w:pStyle w:val="FirstParagraph"/>
      </w:pPr>
      <w:r>
        <w:t xml:space="preserve">La détection des individus extrêmes ne s’applique pas à l’AFC.</w:t>
      </w:r>
    </w:p>
    <w:bookmarkEnd w:id="20"/>
    <w:bookmarkStart w:id="24" w:name="distribution-de-linertie"/>
    <w:p>
      <w:pPr>
        <w:pStyle w:val="Heading3"/>
      </w:pPr>
      <w:r>
        <w:t xml:space="preserve">2. Distribution de l’inertie</w:t>
      </w:r>
    </w:p>
    <w:p>
      <w:pPr>
        <w:pStyle w:val="FirstParagraph"/>
      </w:pPr>
      <w:r>
        <w:t xml:space="preserve">L’inertie des axes factoriels indique d’une part si les variables sont structurées et suggère d’autre part le nombre judicieux de composantes principales à étudier.</w:t>
      </w:r>
    </w:p>
    <w:p>
      <w:pPr>
        <w:pStyle w:val="BodyText"/>
      </w:pPr>
      <w:r>
        <w:t xml:space="preserve">Les 2 premiers axes de l’ analyse expriment</w:t>
      </w:r>
      <w:r>
        <w:t xml:space="preserve"> </w:t>
      </w:r>
      <w:r>
        <w:rPr>
          <w:bCs/>
          <w:b/>
        </w:rPr>
        <w:t xml:space="preserve">81.05%</w:t>
      </w:r>
      <w:r>
        <w:t xml:space="preserve"> </w:t>
      </w:r>
      <w:r>
        <w:t xml:space="preserve">de l’inertie totale du jeu de données ; cela signifie que 81.05% de la variabilité totale du nuage des lignes (ou des colonnes) est représentée dans ce plan.</w:t>
      </w:r>
      <w:r>
        <w:t xml:space="preserve"> </w:t>
      </w:r>
      <w:r>
        <w:t xml:space="preserve">C’est un pourcentage élevé, et le premier plan représente donc bien la variabilité contenue dans une très large part du jeu de données actif.</w:t>
      </w:r>
      <w:r>
        <w:t xml:space="preserve"> </w:t>
      </w:r>
      <w:r>
        <w:t xml:space="preserve">Cette valeur est supérieure à la valeur référence de</w:t>
      </w:r>
      <w:r>
        <w:t xml:space="preserve"> </w:t>
      </w:r>
      <w:r>
        <w:rPr>
          <w:bCs/>
          <w:b/>
        </w:rPr>
        <w:t xml:space="preserve">66.96%</w:t>
      </w:r>
      <w:r>
        <w:t xml:space="preserve">, la variabilité expliquée par ce plan est donc significative</w:t>
      </w:r>
      <w:r>
        <w:t xml:space="preserve"> </w:t>
      </w:r>
      <w:r>
        <w:t xml:space="preserve">(cette intertie de référence est le quantile 0.95-quantile de la distribution des pourcentages d’inertie obtenue en simulant 273 jeux de données aléatoires de dimensions comparables sur la base d’une distribution uniforme).</w:t>
      </w:r>
    </w:p>
    <w:p>
      <w:pPr>
        <w:pStyle w:val="BodyText"/>
      </w:pPr>
      <w:r>
        <w:t xml:space="preserve">Du fait de ces observations, il n’est probablement pas nécessaire pour l’analyse d’interpréter les dimensions suivantes.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apport_2023-03-09_files/figure-docx/unnamed-chunk-1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2 - Décomposition de l’inertie totale</w:t>
      </w:r>
    </w:p>
    <w:p>
      <w:pPr>
        <w:pStyle w:val="BodyText"/>
      </w:pPr>
      <w:r>
        <w:t xml:space="preserve">Une estimation du nombre pertinent d’axes à interpréter suggère de restreindre l’analyse à la description des 2 premiers axes.</w:t>
      </w:r>
      <w:r>
        <w:t xml:space="preserve"> </w:t>
      </w:r>
      <w:r>
        <w:t xml:space="preserve">Ces composantes révèlent un taux d’inertie supérieur à celle du quantile 0.95-quantile de distributions aléatoires (81.05% contre 66.96%).</w:t>
      </w:r>
      <w:r>
        <w:t xml:space="preserve"> </w:t>
      </w:r>
      <w:r>
        <w:t xml:space="preserve">Cette observation suggère que seuls ces axes sont porteurs d’une véritable information.</w:t>
      </w:r>
      <w:r>
        <w:t xml:space="preserve"> </w:t>
      </w:r>
      <w:r>
        <w:t xml:space="preserve">En conséquence, la description de l’analyse sera restreinte à ces seuls axes.</w:t>
      </w:r>
    </w:p>
    <w:p>
      <w:r>
        <w:pict>
          <v:rect style="width:0;height:1.5pt" o:hralign="center" o:hrstd="t" o:hr="t"/>
        </w:pict>
      </w:r>
    </w:p>
    <w:bookmarkEnd w:id="24"/>
    <w:bookmarkStart w:id="28" w:name="description-du-plan-12"/>
    <w:p>
      <w:pPr>
        <w:pStyle w:val="Heading3"/>
      </w:pPr>
      <w:r>
        <w:t xml:space="preserve">3. Description du plan 1:2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apport_2023-03-09_files/figure-docx/unnamed-chunk-1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3.1 - Graphe superposé (AFC)</w:t>
      </w:r>
      <w:r>
        <w:t xml:space="preserve"> </w:t>
      </w:r>
      <w:r>
        <w:rPr>
          <w:iCs/>
          <w:i/>
        </w:rPr>
        <w:t xml:space="preserve">Les lignes libellées sont celles ayant la plus grande contribution à la construction du plan.</w:t>
      </w:r>
      <w:r>
        <w:t xml:space="preserve"> </w:t>
      </w:r>
      <w:r>
        <w:rPr>
          <w:iCs/>
          <w:i/>
        </w:rPr>
        <w:t xml:space="preserve">Les colonnes libellées sont celles les mieux représentées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1</w:t>
      </w:r>
      <w:r>
        <w:t xml:space="preserve"> </w:t>
      </w:r>
      <w:r>
        <w:t xml:space="preserve">oppose des facteurs tels que</w:t>
      </w:r>
      <w:r>
        <w:t xml:space="preserve"> </w:t>
      </w:r>
      <w:r>
        <w:rPr>
          <w:iCs/>
          <w:i/>
        </w:rPr>
        <w:t xml:space="preserve">Mère 35 à 39 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Mère 40 à 44 ans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facteurs comme</w:t>
      </w:r>
      <w:r>
        <w:t xml:space="preserve"> </w:t>
      </w:r>
      <w:r>
        <w:rPr>
          <w:iCs/>
          <w:i/>
        </w:rPr>
        <w:t xml:space="preserve">Mère - 20 ans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auquel les facteurs</w:t>
      </w:r>
      <w:r>
        <w:t xml:space="preserve"> </w:t>
      </w:r>
      <w:r>
        <w:rPr>
          <w:iCs/>
          <w:i/>
        </w:rPr>
        <w:t xml:space="preserve">Mère 35 à 39 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Mère 40 à 44 ans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1"/>
        </w:numPr>
        <w:pStyle w:val="Compact"/>
      </w:pPr>
      <w:r>
        <w:t xml:space="preserve">des modalité dont la fréquence ne diffèrent pas significativement de la moyenne.</w:t>
      </w:r>
    </w:p>
    <w:p>
      <w:pPr>
        <w:pStyle w:val="FirstParagraph"/>
      </w:pPr>
      <w:r>
        <w:t xml:space="preserve">Le groupe auquel le facteur</w:t>
      </w:r>
      <w:r>
        <w:t xml:space="preserve"> </w:t>
      </w:r>
      <w:r>
        <w:rPr>
          <w:iCs/>
          <w:i/>
        </w:rPr>
        <w:t xml:space="preserve">Mère - 20 ans</w:t>
      </w:r>
      <w:r>
        <w:t xml:space="preserve"> </w:t>
      </w:r>
      <w:r>
        <w:t xml:space="preserve">appartient (caractérisés par une coordonnées négative sur l’axe) partage :</w:t>
      </w:r>
    </w:p>
    <w:p>
      <w:pPr>
        <w:numPr>
          <w:ilvl w:val="0"/>
          <w:numId w:val="1002"/>
        </w:numPr>
        <w:pStyle w:val="Compact"/>
      </w:pPr>
      <w:r>
        <w:t xml:space="preserve">high frequency for the variable</w:t>
      </w:r>
      <w:r>
        <w:t xml:space="preserve"> </w:t>
      </w:r>
      <w:r>
        <w:rPr>
          <w:iCs/>
          <w:i/>
        </w:rPr>
        <w:t xml:space="preserve">Père.-.20.ans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2</w:t>
      </w:r>
      <w:r>
        <w:t xml:space="preserve"> </w:t>
      </w:r>
      <w:r>
        <w:t xml:space="preserve">oppose des facteurs tels que</w:t>
      </w:r>
      <w:r>
        <w:t xml:space="preserve"> </w:t>
      </w:r>
      <w:r>
        <w:rPr>
          <w:iCs/>
          <w:i/>
        </w:rPr>
        <w:t xml:space="preserve">Mère - 20 ans</w:t>
      </w:r>
      <w:r>
        <w:t xml:space="preserve"> </w:t>
      </w:r>
      <w:r>
        <w:t xml:space="preserve">(en haut du graphe, caractérisés par une coordonnées fortement positive sur l’axe)</w:t>
      </w:r>
      <w:r>
        <w:t xml:space="preserve"> </w:t>
      </w:r>
      <w:r>
        <w:t xml:space="preserve">à des facteurs comme</w:t>
      </w:r>
      <w:r>
        <w:t xml:space="preserve"> </w:t>
      </w:r>
      <w:r>
        <w:rPr>
          <w:iCs/>
          <w:i/>
        </w:rPr>
        <w:t xml:space="preserve">Mère 20 à 24 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Mère 25 à 29 ans</w:t>
      </w:r>
      <w:r>
        <w:t xml:space="preserve"> </w:t>
      </w:r>
      <w:r>
        <w:t xml:space="preserve">(en bas du graphe, caractérisés par une coordonnées fortement négative sur l’axe).</w:t>
      </w:r>
    </w:p>
    <w:p>
      <w:pPr>
        <w:pStyle w:val="BodyText"/>
      </w:pPr>
      <w:r>
        <w:t xml:space="preserve">Le groupe auquel le facteur</w:t>
      </w:r>
      <w:r>
        <w:t xml:space="preserve"> </w:t>
      </w:r>
      <w:r>
        <w:rPr>
          <w:iCs/>
          <w:i/>
        </w:rPr>
        <w:t xml:space="preserve">Mère - 20 ans</w:t>
      </w:r>
      <w:r>
        <w:t xml:space="preserve"> </w:t>
      </w:r>
      <w:r>
        <w:t xml:space="preserve">appartient (caractérisés par une coordonnée positive sur l’axe) partage :</w:t>
      </w:r>
    </w:p>
    <w:p>
      <w:pPr>
        <w:numPr>
          <w:ilvl w:val="0"/>
          <w:numId w:val="1003"/>
        </w:numPr>
        <w:pStyle w:val="Compact"/>
      </w:pPr>
      <w:r>
        <w:t xml:space="preserve">high frequency for the variable</w:t>
      </w:r>
      <w:r>
        <w:t xml:space="preserve"> </w:t>
      </w:r>
      <w:r>
        <w:rPr>
          <w:iCs/>
          <w:i/>
        </w:rPr>
        <w:t xml:space="preserve">Père.-.20.ans</w:t>
      </w:r>
      <w:r>
        <w:t xml:space="preserve">.</w:t>
      </w:r>
    </w:p>
    <w:p>
      <w:pPr>
        <w:pStyle w:val="FirstParagraph"/>
      </w:pPr>
      <w:r>
        <w:t xml:space="preserve">Le groupe auquel les facteurs</w:t>
      </w:r>
      <w:r>
        <w:t xml:space="preserve"> </w:t>
      </w:r>
      <w:r>
        <w:rPr>
          <w:iCs/>
          <w:i/>
        </w:rPr>
        <w:t xml:space="preserve">Mère 20 à 24 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Mère 25 à 29 ans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4"/>
        </w:numPr>
        <w:pStyle w:val="Compact"/>
      </w:pPr>
      <w:r>
        <w:t xml:space="preserve">une forte fréquence des modalités</w:t>
      </w:r>
      <w:r>
        <w:t xml:space="preserve"> </w:t>
      </w:r>
      <w:r>
        <w:rPr>
          <w:iCs/>
          <w:i/>
        </w:rPr>
        <w:t xml:space="preserve">Père.25.à.29.ans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Père.30.à.34.ans</w:t>
      </w:r>
      <w:r>
        <w:t xml:space="preserve"> </w:t>
      </w:r>
      <w:r>
        <w:t xml:space="preserve">(du plus commun au plus rare).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29" w:name="annexes"/>
    <w:p>
      <w:pPr>
        <w:pStyle w:val="Heading2"/>
      </w:pPr>
      <w:r>
        <w:t xml:space="preserve">Annexes</w:t>
      </w:r>
    </w:p>
    <w:p>
      <w:pPr>
        <w:pStyle w:val="SourceCode"/>
      </w:pPr>
      <w:r>
        <w:rPr>
          <w:rStyle w:val="FunctionTok"/>
        </w:rPr>
        <w:t xml:space="preserve">dimdesc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$`Dim 1`</w:t>
      </w:r>
      <w:r>
        <w:br/>
      </w:r>
      <w:r>
        <w:rPr>
          <w:rStyle w:val="VerbatimChar"/>
        </w:rPr>
        <w:t xml:space="preserve">$`Dim 1`$row</w:t>
      </w:r>
      <w:r>
        <w:br/>
      </w:r>
      <w:r>
        <w:rPr>
          <w:rStyle w:val="VerbatimChar"/>
        </w:rPr>
        <w:t xml:space="preserve">                      coord</w:t>
      </w:r>
      <w:r>
        <w:br/>
      </w:r>
      <w:r>
        <w:rPr>
          <w:rStyle w:val="VerbatimChar"/>
        </w:rPr>
        <w:t xml:space="preserve">Mère - 20 ans    -2.3671127</w:t>
      </w:r>
      <w:r>
        <w:br/>
      </w:r>
      <w:r>
        <w:rPr>
          <w:rStyle w:val="VerbatimChar"/>
        </w:rPr>
        <w:t xml:space="preserve">Mère 20 à 24 ans -1.1949875</w:t>
      </w:r>
      <w:r>
        <w:br/>
      </w:r>
      <w:r>
        <w:rPr>
          <w:rStyle w:val="VerbatimChar"/>
        </w:rPr>
        <w:t xml:space="preserve">Mère 25 à 29 ans -0.3189009</w:t>
      </w:r>
      <w:r>
        <w:br/>
      </w:r>
      <w:r>
        <w:rPr>
          <w:rStyle w:val="VerbatimChar"/>
        </w:rPr>
        <w:t xml:space="preserve">Mère 30 à 34 ans  0.3242924</w:t>
      </w:r>
      <w:r>
        <w:br/>
      </w:r>
      <w:r>
        <w:rPr>
          <w:rStyle w:val="VerbatimChar"/>
        </w:rPr>
        <w:t xml:space="preserve">Mère 35 à 39 ans  0.7327401</w:t>
      </w:r>
      <w:r>
        <w:br/>
      </w:r>
      <w:r>
        <w:rPr>
          <w:rStyle w:val="VerbatimChar"/>
        </w:rPr>
        <w:t xml:space="preserve">Mère 40 à 44 ans  0.9337979</w:t>
      </w:r>
      <w:r>
        <w:br/>
      </w:r>
      <w:r>
        <w:rPr>
          <w:rStyle w:val="VerbatimChar"/>
        </w:rPr>
        <w:t xml:space="preserve">Mère 45 à 49 ans  1.0292017</w:t>
      </w:r>
      <w:r>
        <w:br/>
      </w:r>
      <w:r>
        <w:rPr>
          <w:rStyle w:val="VerbatimChar"/>
        </w:rPr>
        <w:t xml:space="preserve">Mère + 45         1.0314511</w:t>
      </w:r>
      <w:r>
        <w:br/>
      </w:r>
      <w:r>
        <w:rPr>
          <w:rStyle w:val="VerbatimChar"/>
        </w:rPr>
        <w:t xml:space="preserve">Mère 50 à 60 ans  1.0682757</w:t>
      </w:r>
      <w:r>
        <w:br/>
      </w:r>
      <w:r>
        <w:br/>
      </w:r>
      <w:r>
        <w:rPr>
          <w:rStyle w:val="VerbatimChar"/>
        </w:rPr>
        <w:t xml:space="preserve">$`Dim 1`$col</w:t>
      </w:r>
      <w:r>
        <w:br/>
      </w:r>
      <w:r>
        <w:rPr>
          <w:rStyle w:val="VerbatimChar"/>
        </w:rPr>
        <w:t xml:space="preserve">                      coord</w:t>
      </w:r>
      <w:r>
        <w:br/>
      </w:r>
      <w:r>
        <w:rPr>
          <w:rStyle w:val="VerbatimChar"/>
        </w:rPr>
        <w:t xml:space="preserve">Père - 20 ans    -2.7512005</w:t>
      </w:r>
      <w:r>
        <w:br/>
      </w:r>
      <w:r>
        <w:rPr>
          <w:rStyle w:val="VerbatimChar"/>
        </w:rPr>
        <w:t xml:space="preserve">Père 20 à 24 ans -1.7608104</w:t>
      </w:r>
      <w:r>
        <w:br/>
      </w:r>
      <w:r>
        <w:rPr>
          <w:rStyle w:val="VerbatimChar"/>
        </w:rPr>
        <w:t xml:space="preserve">Père 25 à 29 ans -0.6763055</w:t>
      </w:r>
      <w:r>
        <w:br/>
      </w:r>
      <w:r>
        <w:rPr>
          <w:rStyle w:val="VerbatimChar"/>
        </w:rPr>
        <w:t xml:space="preserve">Père 30 à 34 ans  0.0666460</w:t>
      </w:r>
      <w:r>
        <w:br/>
      </w:r>
      <w:r>
        <w:rPr>
          <w:rStyle w:val="VerbatimChar"/>
        </w:rPr>
        <w:t xml:space="preserve">Père 35 à 39 ans  0.5150954</w:t>
      </w:r>
      <w:r>
        <w:br/>
      </w:r>
      <w:r>
        <w:rPr>
          <w:rStyle w:val="VerbatimChar"/>
        </w:rPr>
        <w:t xml:space="preserve">Père 40 à 44 ans  0.7446557</w:t>
      </w:r>
      <w:r>
        <w:br/>
      </w:r>
      <w:r>
        <w:rPr>
          <w:rStyle w:val="VerbatimChar"/>
        </w:rPr>
        <w:t xml:space="preserve">Père + 60 ans     0.8124167</w:t>
      </w:r>
      <w:r>
        <w:br/>
      </w:r>
      <w:r>
        <w:rPr>
          <w:rStyle w:val="VerbatimChar"/>
        </w:rPr>
        <w:t xml:space="preserve">Père 45 à 49 ans  0.8125884</w:t>
      </w:r>
      <w:r>
        <w:br/>
      </w:r>
      <w:r>
        <w:rPr>
          <w:rStyle w:val="VerbatimChar"/>
        </w:rPr>
        <w:t xml:space="preserve">Père + 55         0.8155595</w:t>
      </w:r>
      <w:r>
        <w:br/>
      </w:r>
      <w:r>
        <w:rPr>
          <w:rStyle w:val="VerbatimChar"/>
        </w:rPr>
        <w:t xml:space="preserve">Père 55 à 59 ans  0.8167967</w:t>
      </w:r>
      <w:r>
        <w:br/>
      </w:r>
      <w:r>
        <w:rPr>
          <w:rStyle w:val="VerbatimChar"/>
        </w:rPr>
        <w:t xml:space="preserve">Père 50 à 54 ans  0.8379469</w:t>
      </w:r>
    </w:p>
    <w:p>
      <w:pPr>
        <w:pStyle w:val="FirstParagraph"/>
      </w:pPr>
      <w:r>
        <w:rPr>
          <w:bCs/>
          <w:b/>
        </w:rPr>
        <w:t xml:space="preserve">Figure 4 - Liste des variables caractéristiques des dimensions de l’analyse.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Correspondances</dc:title>
  <dc:creator>Jeu de données naissances</dc:creator>
  <cp:keywords/>
  <dcterms:created xsi:type="dcterms:W3CDTF">2023-03-09T20:40:11Z</dcterms:created>
  <dcterms:modified xsi:type="dcterms:W3CDTF">2023-03-09T20:40:11Z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