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Le</w:t>
      </w:r>
      <w:r>
        <w:t xml:space="preserve"> </w:t>
      </w:r>
      <w:r>
        <w:t xml:space="preserve">modèle</w:t>
      </w:r>
      <w:r>
        <w:t xml:space="preserve"> </w:t>
      </w:r>
      <w:r>
        <w:t xml:space="preserve">principal-agent</w:t>
      </w:r>
      <w:r>
        <w:t xml:space="preserve"> </w:t>
      </w:r>
      <w:r>
        <w:t xml:space="preserve">avec</w:t>
      </w:r>
      <w:r>
        <w:t xml:space="preserve"> </w:t>
      </w:r>
      <w:r>
        <w:t xml:space="preserve">action</w:t>
      </w:r>
      <w:r>
        <w:t xml:space="preserve"> </w:t>
      </w:r>
      <w:r>
        <w:t xml:space="preserve">cachée</w:t>
      </w:r>
      <w:r>
        <w:t xml:space="preserve"> </w:t>
      </w:r>
      <w:r>
        <w:t xml:space="preserve">:</w:t>
      </w:r>
      <w:r>
        <w:t xml:space="preserve"> </w:t>
      </w:r>
      <w:r>
        <w:t xml:space="preserve">Incitations</w:t>
      </w:r>
      <w:r>
        <w:t xml:space="preserve"> </w:t>
      </w:r>
      <w:r>
        <w:t xml:space="preserve">dans</w:t>
      </w:r>
      <w:r>
        <w:t xml:space="preserve"> </w:t>
      </w:r>
      <w:r>
        <w:t xml:space="preserve">le</w:t>
      </w:r>
      <w:r>
        <w:t xml:space="preserve"> </w:t>
      </w:r>
      <w:r>
        <w:t xml:space="preserve">cadre</w:t>
      </w:r>
      <w:r>
        <w:t xml:space="preserve"> </w:t>
      </w:r>
      <w:r>
        <w:t xml:space="preserve">d’une</w:t>
      </w:r>
      <w:r>
        <w:t xml:space="preserve"> </w:t>
      </w:r>
      <w:r>
        <w:t xml:space="preserve">relation</w:t>
      </w:r>
      <w:r>
        <w:t xml:space="preserve"> </w:t>
      </w:r>
      <w:r>
        <w:t xml:space="preserve">client</w:t>
      </w:r>
      <w:r>
        <w:t xml:space="preserve"> </w:t>
      </w:r>
      <w:r>
        <w:t xml:space="preserve">et</w:t>
      </w:r>
      <w:r>
        <w:t xml:space="preserve"> </w:t>
      </w:r>
      <w:r>
        <w:t xml:space="preserve">avocat</w:t>
      </w:r>
    </w:p>
    <w:p>
      <w:pPr>
        <w:pStyle w:val="Author"/>
      </w:pPr>
      <w:r>
        <w:t xml:space="preserve">Axel-Cleris</w:t>
      </w:r>
      <w:r>
        <w:t xml:space="preserve"> </w:t>
      </w:r>
      <w:r>
        <w:t xml:space="preserve">Gailloty</w:t>
      </w:r>
    </w:p>
    <w:p>
      <w:pPr>
        <w:pStyle w:val="Date"/>
      </w:pPr>
      <w:r>
        <w:t xml:space="preserve">20/11/2020</w:t>
      </w:r>
    </w:p>
    <w:p>
      <w:pPr>
        <w:pStyle w:val="Titre1"/>
      </w:pPr>
      <w:bookmarkStart w:id="20" w:name="introduction"/>
      <w:r>
        <w:t xml:space="preserve">Introduction</w:t>
      </w:r>
      <w:bookmarkEnd w:id="20"/>
    </w:p>
    <w:p>
      <w:pPr>
        <w:pStyle w:val="Titre1"/>
      </w:pPr>
      <w:bookmarkStart w:id="21" w:name="X49e53157d40278354dd995b05c7c34288261fea"/>
      <w:r>
        <w:t xml:space="preserve">Revue de la littérature sur les théories économique du modèle principal-agent.</w:t>
      </w:r>
      <w:bookmarkEnd w:id="21"/>
    </w:p>
    <w:p>
      <w:pPr>
        <w:pStyle w:val="Titre1"/>
      </w:pPr>
      <w:bookmarkStart w:id="22" w:name="Xf02d7bdda3abd8dc97080c9cd0d92dd44963a72"/>
      <w:r>
        <w:t xml:space="preserve">Cas d’exemple : incitation dans le cadre d’une relation client-avocat</w:t>
      </w:r>
      <w:bookmarkEnd w:id="22"/>
    </w:p>
    <w:p>
      <w:pPr>
        <w:pStyle w:val="Titre2"/>
      </w:pPr>
      <w:bookmarkStart w:id="23" w:name="Xe16ce84037c897360ce371ddd679905a49ac127"/>
      <w:r>
        <w:t xml:space="preserve">Définitions des contraintes et formalisation</w:t>
      </w:r>
      <w:bookmarkEnd w:id="23"/>
    </w:p>
    <w:p>
      <w:pPr>
        <w:pStyle w:val="Titre3"/>
      </w:pPr>
      <w:bookmarkStart w:id="24" w:name="contraintes-dincitations"/>
      <w:r>
        <w:t xml:space="preserve">Contraintes d’incitations</w:t>
      </w:r>
      <w:bookmarkEnd w:id="24"/>
    </w:p>
    <w:p>
      <w:pPr>
        <w:pStyle w:val="Titre3"/>
      </w:pPr>
      <w:bookmarkStart w:id="25" w:name="contraintes-de-participation"/>
      <w:r>
        <w:t xml:space="preserve">Contraintes de participation</w:t>
      </w:r>
      <w:bookmarkEnd w:id="25"/>
    </w:p>
    <w:sectPr w:rsidR="00541745" w:rsidRPr="002371C4" w:rsidSect="00DA66E5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30AF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6422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B874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C044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DFC9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A4093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F89C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364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0816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8805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4E0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BA1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854C3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84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84AEB"/>
    <w:pPr>
      <w:spacing w:before="180" w:after="180"/>
      <w:jc w:val="both"/>
    </w:pPr>
    <w:rPr>
      <w:rFonts w:ascii="Bahnschrift Light SemiCondensed" w:hAnsi="Bahnschrift Light SemiCondensed"/>
      <w:sz w:val="26"/>
    </w:rPr>
  </w:style>
  <w:style w:type="paragraph" w:customStyle="1" w:styleId="FirstParagraph">
    <w:name w:val="First Paragraph"/>
    <w:basedOn w:val="Corpsdetexte"/>
    <w:next w:val="Corpsdetexte"/>
    <w:qFormat/>
    <w:rsid w:val="00B160C9"/>
  </w:style>
  <w:style w:type="paragraph" w:customStyle="1" w:styleId="Compact">
    <w:name w:val="Compact"/>
    <w:basedOn w:val="Corpsdetexte"/>
    <w:qFormat/>
    <w:rsid w:val="002371C4"/>
    <w:pPr>
      <w:spacing w:before="36" w:after="36"/>
    </w:pPr>
  </w:style>
  <w:style w:type="paragraph" w:styleId="Titre">
    <w:name w:val="Title"/>
    <w:basedOn w:val="Normal"/>
    <w:next w:val="Corpsdetexte"/>
    <w:qFormat/>
    <w:rsid w:val="00DA66E5"/>
    <w:pPr>
      <w:keepNext/>
      <w:keepLines/>
      <w:spacing w:before="1560" w:after="2280" w:line="36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684AEB"/>
    <w:pPr>
      <w:keepNext/>
      <w:keepLines/>
      <w:jc w:val="center"/>
    </w:pPr>
    <w:rPr>
      <w:rFonts w:ascii="Bahnschrift Light SemiCondensed" w:hAnsi="Bahnschrift Light SemiCondensed"/>
      <w:b/>
      <w:sz w:val="36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84AEB"/>
    <w:pPr>
      <w:spacing w:before="100" w:after="100"/>
    </w:pPr>
    <w:rPr>
      <w:rFonts w:eastAsiaTheme="majorEastAsia" w:cstheme="majorBidi"/>
      <w:bCs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2371C4"/>
    <w:rPr>
      <w:rFonts w:ascii="Microsoft YaHei UI" w:hAnsi="Microsoft YaHei UI"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371C4"/>
    <w:pPr>
      <w:shd w:val="clear" w:color="auto" w:fill="F8F8F8"/>
      <w:wordWrap w:val="0"/>
    </w:pPr>
    <w:rPr>
      <w:rFonts w:ascii="Microsoft YaHei UI" w:hAnsi="Microsoft YaHei UI"/>
      <w:sz w:val="22"/>
    </w:rPr>
  </w:style>
  <w:style w:type="character" w:customStyle="1" w:styleId="KeywordTok">
    <w:name w:val="Keyword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Nirmala UI Semilight" w:hAnsi="Nirmala UI Semilight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Nirmala UI Semilight" w:hAnsi="Nirmala UI Semilight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Nirmala UI Semilight" w:hAnsi="Nirmala UI Semilight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Nirmala UI Semilight" w:hAnsi="Nirmala UI Semilight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Nirmala UI Semilight" w:hAnsi="Nirmala UI Semilight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Nirmala UI Semilight" w:hAnsi="Nirmala UI Semilight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684AEB"/>
    <w:rPr>
      <w:rFonts w:ascii="Bahnschrift Light SemiCondensed" w:hAnsi="Bahnschrift Light SemiCondense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modèle principal-agent avec action cachée : Incitations dans le cadre d’une relation client et avocat</dc:title>
  <dc:creator>Axel-Cleris Gailloty</dc:creator>
  <cp:keywords/>
  <dcterms:created xsi:type="dcterms:W3CDTF">2020-11-20T08:07:25Z</dcterms:created>
  <dcterms:modified xsi:type="dcterms:W3CDTF">2020-11-20T08:07:25Z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20/11/2020</vt:lpwstr>
  </property>
  <property fmtid="{D5CDD505-2E9C-101B-9397-08002B2CF9AE}" pid="3" name="output">
    <vt:lpwstr/>
  </property>
</Properties>
</file>