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8.png" ContentType="image/png"/>
  <Override PartName="/word/media/rId26.png" ContentType="image/png"/>
  <Override PartName="/word/media/rId27.png" ContentType="image/png"/>
  <Override PartName="/word/media/rId29.png" ContentType="image/png"/>
  <Override PartName="/word/media/rId45.png" ContentType="image/png"/>
  <Override PartName="/word/media/rId43.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problèmpe d’inefficience est principalement due au différentiel d’estimation de la valeur que font les parties prenantes sur le marché. C’est pour cette raison que dans le cadre de cette étude, la question qui nous occupe est celle de comprendre les facteurs entrant dans la valorisation des biens immobiliers. Plus précisémenent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est décrit la vente de propriétés résidentielles individuelles à Ames, une ville de l’Etat de l’Iowa aux USA entre 2006 et 2010.</w:t>
      </w:r>
      <w:r>
        <w:t xml:space="preserve"> </w:t>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
      <w:r>
        <w:t xml:space="preserve">Objectifs de l’étude</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Titre2"/>
      </w:pPr>
      <w:bookmarkStart w:id="23" w:name="plan-de-létude"/>
      <w:r>
        <w:t xml:space="preserve">Plan de l’étude</w:t>
      </w:r>
      <w:bookmarkEnd w:id="23"/>
    </w:p>
    <w:p>
      <w:pPr>
        <w:pStyle w:val="FirstParagraph"/>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4" w:name="analyse-exploratoire-des-données"/>
      <w:r>
        <w:t xml:space="preserve">Analyse exploratoire des données</w:t>
      </w:r>
      <w:bookmarkEnd w:id="24"/>
    </w:p>
    <w:p>
      <w:pPr>
        <w:pStyle w:val="Titre2"/>
      </w:pPr>
      <w:bookmarkStart w:id="25" w:name="statistiques-descriptives-univariées"/>
      <w:r>
        <w:t xml:space="preserve">Statistiques descriptives univariées</w:t>
      </w:r>
      <w:bookmarkEnd w:id="25"/>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5.764778e+01</w:t>
            </w:r>
          </w:p>
        </w:tc>
        <w:tc>
          <w:p>
            <w:pPr>
              <w:pStyle w:val="Compact"/>
              <w:jc w:val="right"/>
            </w:pPr>
            <w:r>
              <w:t xml:space="preserve">3.349944e+01</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1.014792e+04</w:t>
            </w:r>
          </w:p>
        </w:tc>
        <w:tc>
          <w:p>
            <w:pPr>
              <w:pStyle w:val="Compact"/>
              <w:jc w:val="right"/>
            </w:pPr>
            <w:r>
              <w:t xml:space="preserve">7.880018e+03</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1.971356e+03</w:t>
            </w:r>
          </w:p>
        </w:tc>
        <w:tc>
          <w:p>
            <w:pPr>
              <w:pStyle w:val="Compact"/>
              <w:jc w:val="right"/>
            </w:pPr>
            <w:r>
              <w:t xml:space="preserve">3.024536e+01</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1.984267e+03</w:t>
            </w:r>
          </w:p>
        </w:tc>
        <w:tc>
          <w:p>
            <w:pPr>
              <w:pStyle w:val="Compact"/>
              <w:jc w:val="right"/>
            </w:pPr>
            <w:r>
              <w:t xml:space="preserve">2.086029e+01</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1.010969e+02</w:t>
            </w:r>
          </w:p>
        </w:tc>
        <w:tc>
          <w:p>
            <w:pPr>
              <w:pStyle w:val="Compact"/>
              <w:jc w:val="right"/>
            </w:pPr>
            <w:r>
              <w:t xml:space="preserve">1.786345e+02</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4.177474e+00</w:t>
            </w:r>
          </w:p>
        </w:tc>
        <w:tc>
          <w:p>
            <w:pPr>
              <w:pStyle w:val="Compact"/>
              <w:jc w:val="right"/>
            </w:pPr>
            <w:r>
              <w:t xml:space="preserve">2.233373e+00</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4.970546e+01</w:t>
            </w:r>
          </w:p>
        </w:tc>
        <w:tc>
          <w:p>
            <w:pPr>
              <w:pStyle w:val="Compact"/>
              <w:jc w:val="right"/>
            </w:pPr>
            <w:r>
              <w:t xml:space="preserve">1.691421e+02</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5.590717e+02</w:t>
            </w:r>
          </w:p>
        </w:tc>
        <w:tc>
          <w:p>
            <w:pPr>
              <w:pStyle w:val="Compact"/>
              <w:jc w:val="right"/>
            </w:pPr>
            <w:r>
              <w:t xml:space="preserve">4.395406e+02</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1.051256e+03</w:t>
            </w:r>
          </w:p>
        </w:tc>
        <w:tc>
          <w:p>
            <w:pPr>
              <w:pStyle w:val="Compact"/>
              <w:jc w:val="right"/>
            </w:pPr>
            <w:r>
              <w:t xml:space="preserve">4.409680e+02</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1.159558e+03</w:t>
            </w:r>
          </w:p>
        </w:tc>
        <w:tc>
          <w:p>
            <w:pPr>
              <w:pStyle w:val="Compact"/>
              <w:jc w:val="right"/>
            </w:pPr>
            <w:r>
              <w:t xml:space="preserve">3.918909e+02</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3.354560e+02</w:t>
            </w:r>
          </w:p>
        </w:tc>
        <w:tc>
          <w:p>
            <w:pPr>
              <w:pStyle w:val="Compact"/>
              <w:jc w:val="right"/>
            </w:pPr>
            <w:r>
              <w:t xml:space="preserve">4.283957e+02</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4.676792e+00</w:t>
            </w:r>
          </w:p>
        </w:tc>
        <w:tc>
          <w:p>
            <w:pPr>
              <w:pStyle w:val="Compact"/>
              <w:jc w:val="right"/>
            </w:pPr>
            <w:r>
              <w:t xml:space="preserve">4.631051e+01</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1.499690e+03</w:t>
            </w:r>
          </w:p>
        </w:tc>
        <w:tc>
          <w:p>
            <w:pPr>
              <w:pStyle w:val="Compact"/>
              <w:jc w:val="right"/>
            </w:pPr>
            <w:r>
              <w:t xml:space="preserve">5.055089e+02</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4.310580e-01</w:t>
            </w:r>
          </w:p>
        </w:tc>
        <w:tc>
          <w:p>
            <w:pPr>
              <w:pStyle w:val="Compact"/>
              <w:jc w:val="right"/>
            </w:pPr>
            <w:r>
              <w:t xml:space="preserve">5.247620e-01</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6.109220e-02</w:t>
            </w:r>
          </w:p>
        </w:tc>
        <w:tc>
          <w:p>
            <w:pPr>
              <w:pStyle w:val="Compact"/>
              <w:jc w:val="right"/>
            </w:pPr>
            <w:r>
              <w:t xml:space="preserve">2.451750e-01</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1.566553e+00</w:t>
            </w:r>
          </w:p>
        </w:tc>
        <w:tc>
          <w:p>
            <w:pPr>
              <w:pStyle w:val="Compact"/>
              <w:jc w:val="right"/>
            </w:pPr>
            <w:r>
              <w:t xml:space="preserve">5.529406e-01</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3.795222e-01</w:t>
            </w:r>
          </w:p>
        </w:tc>
        <w:tc>
          <w:p>
            <w:pPr>
              <w:pStyle w:val="Compact"/>
              <w:jc w:val="right"/>
            </w:pPr>
            <w:r>
              <w:t xml:space="preserve">5.026293e-01</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2.854266e+00</w:t>
            </w:r>
          </w:p>
        </w:tc>
        <w:tc>
          <w:p>
            <w:pPr>
              <w:pStyle w:val="Compact"/>
              <w:jc w:val="right"/>
            </w:pPr>
            <w:r>
              <w:t xml:space="preserve">8.277311e-01</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1.044369e+00</w:t>
            </w:r>
          </w:p>
        </w:tc>
        <w:tc>
          <w:p>
            <w:pPr>
              <w:pStyle w:val="Compact"/>
              <w:jc w:val="right"/>
            </w:pPr>
            <w:r>
              <w:t xml:space="preserve">2.140762e-01</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6.443003e+00</w:t>
            </w:r>
          </w:p>
        </w:tc>
        <w:tc>
          <w:p>
            <w:pPr>
              <w:pStyle w:val="Compact"/>
              <w:jc w:val="right"/>
            </w:pPr>
            <w:r>
              <w:t xml:space="preserve">1.572964e+00</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5.993174e-01</w:t>
            </w:r>
          </w:p>
        </w:tc>
        <w:tc>
          <w:p>
            <w:pPr>
              <w:pStyle w:val="Compact"/>
              <w:jc w:val="right"/>
            </w:pPr>
            <w:r>
              <w:t xml:space="preserve">6.479209e-01</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1.766212e+00</w:t>
            </w:r>
          </w:p>
        </w:tc>
        <w:tc>
          <w:p>
            <w:pPr>
              <w:pStyle w:val="Compact"/>
              <w:jc w:val="right"/>
            </w:pPr>
            <w:r>
              <w:t xml:space="preserve">7.611367e-01</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4.726584e+02</w:t>
            </w:r>
          </w:p>
        </w:tc>
        <w:tc>
          <w:p>
            <w:pPr>
              <w:pStyle w:val="Compact"/>
              <w:jc w:val="right"/>
            </w:pPr>
            <w:r>
              <w:t xml:space="preserve">2.151872e+02</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9.375188e+01</w:t>
            </w:r>
          </w:p>
        </w:tc>
        <w:tc>
          <w:p>
            <w:pPr>
              <w:pStyle w:val="Compact"/>
              <w:jc w:val="right"/>
            </w:pPr>
            <w:r>
              <w:t xml:space="preserve">1.263616e+02</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4.753345e+01</w:t>
            </w:r>
          </w:p>
        </w:tc>
        <w:tc>
          <w:p>
            <w:pPr>
              <w:pStyle w:val="Compact"/>
              <w:jc w:val="right"/>
            </w:pPr>
            <w:r>
              <w:t xml:space="preserve">6.748340e+01</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2.301160e+01</w:t>
            </w:r>
          </w:p>
        </w:tc>
        <w:tc>
          <w:p>
            <w:pPr>
              <w:pStyle w:val="Compact"/>
              <w:jc w:val="right"/>
            </w:pPr>
            <w:r>
              <w:t xml:space="preserve">6.413906e+01</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2.592491e+00</w:t>
            </w:r>
          </w:p>
        </w:tc>
        <w:tc>
          <w:p>
            <w:pPr>
              <w:pStyle w:val="Compact"/>
              <w:jc w:val="right"/>
            </w:pPr>
            <w:r>
              <w:t xml:space="preserve">2.514133e+01</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1.600205e+01</w:t>
            </w:r>
          </w:p>
        </w:tc>
        <w:tc>
          <w:p>
            <w:pPr>
              <w:pStyle w:val="Compact"/>
              <w:jc w:val="right"/>
            </w:pPr>
            <w:r>
              <w:t xml:space="preserve">5.608737e+01</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2.243345e+00</w:t>
            </w:r>
          </w:p>
        </w:tc>
        <w:tc>
          <w:p>
            <w:pPr>
              <w:pStyle w:val="Compact"/>
              <w:jc w:val="right"/>
            </w:pPr>
            <w:r>
              <w:t xml:space="preserve">3.559718e+01</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5.063515e+01</w:t>
            </w:r>
          </w:p>
        </w:tc>
        <w:tc>
          <w:p>
            <w:pPr>
              <w:pStyle w:val="Compact"/>
              <w:jc w:val="right"/>
            </w:pPr>
            <w:r>
              <w:t xml:space="preserve">5.663443e+02</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6.216041e+00</w:t>
            </w:r>
          </w:p>
        </w:tc>
        <w:tc>
          <w:p>
            <w:pPr>
              <w:pStyle w:val="Compact"/>
              <w:jc w:val="right"/>
            </w:pPr>
            <w:r>
              <w:t xml:space="preserve">2.714492e+00</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2.007790e+03</w:t>
            </w:r>
          </w:p>
        </w:tc>
        <w:tc>
          <w:p>
            <w:pPr>
              <w:pStyle w:val="Compact"/>
              <w:jc w:val="right"/>
            </w:pPr>
            <w:r>
              <w:t xml:space="preserve">1.316613e+00</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1.807961e+05</w:t>
            </w:r>
          </w:p>
        </w:tc>
        <w:tc>
          <w:p>
            <w:pPr>
              <w:pStyle w:val="Compact"/>
              <w:jc w:val="right"/>
            </w:pPr>
            <w:r>
              <w:t xml:space="preserve">7.988669e+04</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6"/>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Nous pouvons également avoir un aperçu de l’ensemble des colonnes numériques du jeu de données en faisant une représentation graphique combinée de ces colonnes.</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p>
    <w:p>
      <w:pPr>
        <w:pStyle w:val="Titre2"/>
      </w:pPr>
      <w:bookmarkStart w:id="28" w:name="statistiques-descriptives-bivariées"/>
      <w:r>
        <w:t xml:space="preserve">Statistiques descriptives bivariées</w:t>
      </w:r>
      <w:bookmarkEnd w:id="28"/>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9"/>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r>
        <w:t xml:space="preserve"> </w:t>
      </w: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0.8898660</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0.8004287</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0.7067799</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0.6552512</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0.6475616</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0.6325288</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0.6303208</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0.6120953</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0.6116337</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0.5621658</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r>
        <w:t xml:space="preserve"> </w:t>
      </w: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-0.4734244</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-0.3986295</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-0.3743644</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-0.2513973</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-0.2500572</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-0.2287735</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-0.2203833</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-0.2082032</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-0.2044870</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-0.1633113</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30" w:name="lanalyse-en-composantes-principales"/>
      <w:r>
        <w:t xml:space="preserve">L’analyse en composantes principales</w:t>
      </w:r>
      <w:bookmarkEnd w:id="30"/>
    </w:p>
    <w:p>
      <w:pPr>
        <w:pStyle w:val="FirstParagraph"/>
      </w:pPr>
      <w:r>
        <w:t xml:space="preserve">Le cercle de corrélation que nous contruisons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chacunes des variables sur les deux premiers axes factoriels. En ACP le pouvoir explicatif des axes est déscendant,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1"/>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29,5%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2"/>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11.421273</w:t>
            </w:r>
          </w:p>
        </w:tc>
      </w:tr>
      <w:tr>
        <w:tc>
          <w:p>
            <w:pPr>
              <w:pStyle w:val="Compact"/>
              <w:jc w:val="left"/>
            </w:pPr>
            <w:r>
              <w:t xml:space="preserve">Garage_Cars</w:t>
            </w:r>
          </w:p>
        </w:tc>
        <w:tc>
          <w:p>
            <w:pPr>
              <w:pStyle w:val="Compact"/>
              <w:jc w:val="right"/>
            </w:pPr>
            <w:r>
              <w:t xml:space="preserve">9.288409</w:t>
            </w:r>
          </w:p>
        </w:tc>
      </w:tr>
      <w:tr>
        <w:tc>
          <w:p>
            <w:pPr>
              <w:pStyle w:val="Compact"/>
              <w:jc w:val="left"/>
            </w:pPr>
            <w:r>
              <w:t xml:space="preserve">Garage_Area</w:t>
            </w:r>
          </w:p>
        </w:tc>
        <w:tc>
          <w:p>
            <w:pPr>
              <w:pStyle w:val="Compact"/>
              <w:jc w:val="right"/>
            </w:pPr>
            <w:r>
              <w:t xml:space="preserve">8.803092</w:t>
            </w:r>
          </w:p>
        </w:tc>
      </w:tr>
      <w:tr>
        <w:tc>
          <w:p>
            <w:pPr>
              <w:pStyle w:val="Compact"/>
              <w:jc w:val="left"/>
            </w:pPr>
            <w:r>
              <w:t xml:space="preserve">Full_Bath</w:t>
            </w:r>
          </w:p>
        </w:tc>
        <w:tc>
          <w:p>
            <w:pPr>
              <w:pStyle w:val="Compact"/>
              <w:jc w:val="right"/>
            </w:pPr>
            <w:r>
              <w:t xml:space="preserve">8.158077</w:t>
            </w:r>
          </w:p>
        </w:tc>
      </w:tr>
      <w:tr>
        <w:tc>
          <w:p>
            <w:pPr>
              <w:pStyle w:val="Compact"/>
              <w:jc w:val="left"/>
            </w:pPr>
            <w:r>
              <w:t xml:space="preserve">First_Flr_SF</w:t>
            </w:r>
          </w:p>
        </w:tc>
        <w:tc>
          <w:p>
            <w:pPr>
              <w:pStyle w:val="Compact"/>
              <w:jc w:val="right"/>
            </w:pPr>
            <w:r>
              <w:t xml:space="preserve">7.397608</w:t>
            </w:r>
          </w:p>
        </w:tc>
      </w:tr>
      <w:tr>
        <w:tc>
          <w:p>
            <w:pPr>
              <w:pStyle w:val="Compact"/>
              <w:jc w:val="left"/>
            </w:pPr>
            <w:r>
              <w:t xml:space="preserve">TotRms_AbvGrd</w:t>
            </w:r>
          </w:p>
        </w:tc>
        <w:tc>
          <w:p>
            <w:pPr>
              <w:pStyle w:val="Compact"/>
              <w:jc w:val="right"/>
            </w:pPr>
            <w:r>
              <w:t xml:space="preserve">7.382453</w:t>
            </w:r>
          </w:p>
        </w:tc>
      </w:tr>
      <w:tr>
        <w:tc>
          <w:p>
            <w:pPr>
              <w:pStyle w:val="Compact"/>
              <w:jc w:val="left"/>
            </w:pPr>
            <w:r>
              <w:t xml:space="preserve">Total_Bsmt_SF</w:t>
            </w:r>
          </w:p>
        </w:tc>
        <w:tc>
          <w:p>
            <w:pPr>
              <w:pStyle w:val="Compact"/>
              <w:jc w:val="right"/>
            </w:pPr>
            <w:r>
              <w:t xml:space="preserve">7.068658</w:t>
            </w:r>
          </w:p>
        </w:tc>
      </w:tr>
      <w:tr>
        <w:tc>
          <w:p>
            <w:pPr>
              <w:pStyle w:val="Compact"/>
              <w:jc w:val="left"/>
            </w:pPr>
            <w:r>
              <w:t xml:space="preserve">Year_Built</w:t>
            </w:r>
          </w:p>
        </w:tc>
        <w:tc>
          <w:p>
            <w:pPr>
              <w:pStyle w:val="Compact"/>
              <w:jc w:val="right"/>
            </w:pPr>
            <w:r>
              <w:t xml:space="preserve">6.007690</w:t>
            </w:r>
          </w:p>
        </w:tc>
      </w:tr>
      <w:tr>
        <w:tc>
          <w:p>
            <w:pPr>
              <w:pStyle w:val="Compact"/>
              <w:jc w:val="left"/>
            </w:pPr>
            <w:r>
              <w:t xml:space="preserve">Year_Remod_Add</w:t>
            </w:r>
          </w:p>
        </w:tc>
        <w:tc>
          <w:p>
            <w:pPr>
              <w:pStyle w:val="Compact"/>
              <w:jc w:val="right"/>
            </w:pPr>
            <w:r>
              <w:t xml:space="preserve">4.947181</w:t>
            </w:r>
          </w:p>
        </w:tc>
      </w:tr>
      <w:tr>
        <w:tc>
          <w:p>
            <w:pPr>
              <w:pStyle w:val="Compact"/>
              <w:jc w:val="left"/>
            </w:pPr>
            <w:r>
              <w:t xml:space="preserve">Mas_Vnr_Area</w:t>
            </w:r>
          </w:p>
        </w:tc>
        <w:tc>
          <w:p>
            <w:pPr>
              <w:pStyle w:val="Compact"/>
              <w:jc w:val="right"/>
            </w:pPr>
            <w:r>
              <w:t xml:space="preserve">4.541086</w:t>
            </w:r>
          </w:p>
        </w:tc>
      </w:tr>
    </w:tbl>
    <w:p>
      <w:pPr>
        <w:pStyle w:val="Corpsdetexte"/>
      </w:pPr>
      <w:r>
        <w:t xml:space="preserve">Les variables qui ont les plus fortes contributions sur le premier axe factoriel en dehors du prix sont principalement des variables qui touchent à la superficie de la maison ainsi que la superficie des pièces (Garages, salles de bain) que contient la maison.</w:t>
      </w:r>
      <w:r>
        <w:t xml:space="preserve"> </w:t>
      </w:r>
      <w:r>
        <w:t xml:space="preserve">Cette composante désigne donc globalement la taille de la maison.</w:t>
      </w:r>
    </w:p>
    <w:p>
      <w:pPr>
        <w:pStyle w:val="TableCaption"/>
      </w:pPr>
      <w:r>
        <w:t xml:space="preserve">Les dix premières contributions à la deuxièeme composante</w:t>
      </w:r>
    </w:p>
    <w:tbl>
      <w:tblPr>
        <w:tblStyle w:val="Table"/>
        <w:tblW w:type="pct" w:w="0.0"/>
        <w:tblLook w:firstRow="1"/>
        <w:tblCaption w:val="Les dix premières contributions à la deuxièe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16.242738</w:t>
            </w:r>
          </w:p>
        </w:tc>
      </w:tr>
      <w:tr>
        <w:tc>
          <w:p>
            <w:pPr>
              <w:pStyle w:val="Compact"/>
              <w:jc w:val="left"/>
            </w:pPr>
            <w:r>
              <w:t xml:space="preserve">Bedroom_AbvGr</w:t>
            </w:r>
          </w:p>
        </w:tc>
        <w:tc>
          <w:p>
            <w:pPr>
              <w:pStyle w:val="Compact"/>
              <w:jc w:val="right"/>
            </w:pPr>
            <w:r>
              <w:t xml:space="preserve">13.654382</w:t>
            </w:r>
          </w:p>
        </w:tc>
      </w:tr>
      <w:tr>
        <w:tc>
          <w:p>
            <w:pPr>
              <w:pStyle w:val="Compact"/>
              <w:jc w:val="left"/>
            </w:pPr>
            <w:r>
              <w:t xml:space="preserve">Bsmt_Full_Bath</w:t>
            </w:r>
          </w:p>
        </w:tc>
        <w:tc>
          <w:p>
            <w:pPr>
              <w:pStyle w:val="Compact"/>
              <w:jc w:val="right"/>
            </w:pPr>
            <w:r>
              <w:t xml:space="preserve">10.051112</w:t>
            </w:r>
          </w:p>
        </w:tc>
      </w:tr>
      <w:tr>
        <w:tc>
          <w:p>
            <w:pPr>
              <w:pStyle w:val="Compact"/>
              <w:jc w:val="left"/>
            </w:pPr>
            <w:r>
              <w:t xml:space="preserve">TotRms_AbvGrd</w:t>
            </w:r>
          </w:p>
        </w:tc>
        <w:tc>
          <w:p>
            <w:pPr>
              <w:pStyle w:val="Compact"/>
              <w:jc w:val="right"/>
            </w:pPr>
            <w:r>
              <w:t xml:space="preserve">9.777460</w:t>
            </w:r>
          </w:p>
        </w:tc>
      </w:tr>
      <w:tr>
        <w:tc>
          <w:p>
            <w:pPr>
              <w:pStyle w:val="Compact"/>
              <w:jc w:val="left"/>
            </w:pPr>
            <w:r>
              <w:t xml:space="preserve">BsmtFin_SF_1</w:t>
            </w:r>
          </w:p>
        </w:tc>
        <w:tc>
          <w:p>
            <w:pPr>
              <w:pStyle w:val="Compact"/>
              <w:jc w:val="right"/>
            </w:pPr>
            <w:r>
              <w:t xml:space="preserve">8.950848</w:t>
            </w:r>
          </w:p>
        </w:tc>
      </w:tr>
      <w:tr>
        <w:tc>
          <w:p>
            <w:pPr>
              <w:pStyle w:val="Compact"/>
              <w:jc w:val="left"/>
            </w:pPr>
            <w:r>
              <w:t xml:space="preserve">Year_Built</w:t>
            </w:r>
          </w:p>
        </w:tc>
        <w:tc>
          <w:p>
            <w:pPr>
              <w:pStyle w:val="Compact"/>
              <w:jc w:val="right"/>
            </w:pPr>
            <w:r>
              <w:t xml:space="preserve">4.972109</w:t>
            </w:r>
          </w:p>
        </w:tc>
      </w:tr>
      <w:tr>
        <w:tc>
          <w:p>
            <w:pPr>
              <w:pStyle w:val="Compact"/>
              <w:jc w:val="left"/>
            </w:pPr>
            <w:r>
              <w:t xml:space="preserve">Total_Bsmt_SF</w:t>
            </w:r>
          </w:p>
        </w:tc>
        <w:tc>
          <w:p>
            <w:pPr>
              <w:pStyle w:val="Compact"/>
              <w:jc w:val="right"/>
            </w:pPr>
            <w:r>
              <w:t xml:space="preserve">4.776185</w:t>
            </w:r>
          </w:p>
        </w:tc>
      </w:tr>
      <w:tr>
        <w:tc>
          <w:p>
            <w:pPr>
              <w:pStyle w:val="Compact"/>
              <w:jc w:val="left"/>
            </w:pPr>
            <w:r>
              <w:t xml:space="preserve">Gr_Liv_Area</w:t>
            </w:r>
          </w:p>
        </w:tc>
        <w:tc>
          <w:p>
            <w:pPr>
              <w:pStyle w:val="Compact"/>
              <w:jc w:val="right"/>
            </w:pPr>
            <w:r>
              <w:t xml:space="preserve">4.725734</w:t>
            </w:r>
          </w:p>
        </w:tc>
      </w:tr>
      <w:tr>
        <w:tc>
          <w:p>
            <w:pPr>
              <w:pStyle w:val="Compact"/>
              <w:jc w:val="left"/>
            </w:pPr>
            <w:r>
              <w:t xml:space="preserve">Half_Bath</w:t>
            </w:r>
          </w:p>
        </w:tc>
        <w:tc>
          <w:p>
            <w:pPr>
              <w:pStyle w:val="Compact"/>
              <w:jc w:val="right"/>
            </w:pPr>
            <w:r>
              <w:t xml:space="preserve">3.956623</w:t>
            </w:r>
          </w:p>
        </w:tc>
      </w:tr>
      <w:tr>
        <w:tc>
          <w:p>
            <w:pPr>
              <w:pStyle w:val="Compact"/>
              <w:jc w:val="left"/>
            </w:pPr>
            <w:r>
              <w:t xml:space="preserve">Kitchen_AbvGr</w:t>
            </w:r>
          </w:p>
        </w:tc>
        <w:tc>
          <w:p>
            <w:pPr>
              <w:pStyle w:val="Compact"/>
              <w:jc w:val="right"/>
            </w:pPr>
            <w:r>
              <w:t xml:space="preserve">3.554558</w:t>
            </w:r>
          </w:p>
        </w:tc>
      </w:tr>
    </w:tbl>
    <w:p>
      <w:pPr>
        <w:pStyle w:val="Corpsdetexte"/>
      </w:pPr>
      <w:r>
        <w:t xml:space="preserve">Sur la deuxième composante ce sont les caractéristiques relatives au nombre d’étages et de pièces situés</w:t>
      </w:r>
    </w:p>
    <w:p>
      <w:pPr>
        <w:pStyle w:val="Titre1"/>
      </w:pPr>
      <w:bookmarkStart w:id="33" w:name="modélisations"/>
      <w:r>
        <w:t xml:space="preserve">Modélisations</w:t>
      </w:r>
      <w:bookmarkEnd w:id="33"/>
    </w:p>
    <w:p>
      <w:pPr>
        <w:pStyle w:val="Titre2"/>
      </w:pPr>
      <w:bookmarkStart w:id="34" w:name="transformations-des-données"/>
      <w:r>
        <w:t xml:space="preserve">Transformations des données</w:t>
      </w:r>
      <w:bookmarkEnd w:id="34"/>
    </w:p>
    <w:p>
      <w:pPr>
        <w:pStyle w:val="FirstParagraph"/>
      </w:pPr>
      <w:r>
        <w:t xml:space="preserve">Comme nous l’avions présenté dans la présentation des données, 46 des colonnes présentes dans le jeu de données ne sont pas quantitatives et continues. En effet 23 sont qualitatives ordinales et 23 autres sont qualitatives simples. Il est donc important que nous trouvions une stratégie pour inclure ces colonnes dans le modèle car ces informations qui ne sont pas nécessairement quantitatives sont importantes pour comprendre l’inertie de la variable que nous cherchons à modéliser qui est en l’occurence le prix du bien immobilier (</w:t>
      </w:r>
      <w:r>
        <w:rPr>
          <w:rStyle w:val="VerbatimChar"/>
        </w:rPr>
        <w:t xml:space="preserve">Sale_Price</w:t>
      </w:r>
      <w:r>
        <w:t xml:space="preserve">).</w:t>
      </w:r>
    </w:p>
    <w:p>
      <w:pPr>
        <w:pStyle w:val="Corpsdetexte"/>
      </w:pPr>
      <w:r>
        <w:t xml:space="preserve">Pour nous assurer de l’importance d’inclure les variables non quantitatives dans le modèle, nous allons construire deux modèles de regression multiples simples. Le premier modèle inclut uniquement les variables quantitatives continues et le second modèle va inclure en plus des variables quantitatives les variables qualitatives transformées.</w:t>
      </w:r>
    </w:p>
    <w:p>
      <w:pPr>
        <w:pStyle w:val="Titre2"/>
      </w:pPr>
      <w:bookmarkStart w:id="35" w:name="modèle-de-régression-multiple"/>
      <w:r>
        <w:t xml:space="preserve">Modèle de régression multiple</w:t>
      </w:r>
      <w:bookmarkEnd w:id="35"/>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1.732e+05  1.034e+06   0.168 0.866982    </w:t>
      </w:r>
      <w:r>
        <w:br w:type="textWrapping"/>
      </w:r>
      <w:r>
        <w:rPr>
          <w:rStyle w:val="VerbatimChar"/>
        </w:rPr>
        <w:t xml:space="preserve">Lot_Frontage        8.780e+01  2.107e+01   4.167 3.18e-05 ***</w:t>
      </w:r>
      <w:r>
        <w:br w:type="textWrapping"/>
      </w:r>
      <w:r>
        <w:rPr>
          <w:rStyle w:val="VerbatimChar"/>
        </w:rPr>
        <w:t xml:space="preserve">Lot_Area            2.765e-01  9.262e-02   2.985 0.002860 ** </w:t>
      </w:r>
      <w:r>
        <w:br w:type="textWrapping"/>
      </w:r>
      <w:r>
        <w:rPr>
          <w:rStyle w:val="VerbatimChar"/>
        </w:rPr>
        <w:t xml:space="preserve">Year_Built          3.661e+02  4.090e+01   8.950  &lt; 2e-16 ***</w:t>
      </w:r>
      <w:r>
        <w:br w:type="textWrapping"/>
      </w:r>
      <w:r>
        <w:rPr>
          <w:rStyle w:val="VerbatimChar"/>
        </w:rPr>
        <w:t xml:space="preserve">Year_Remod_Add      5.208e+02  4.383e+01  11.882  &lt; 2e-16 ***</w:t>
      </w:r>
      <w:r>
        <w:br w:type="textWrapping"/>
      </w:r>
      <w:r>
        <w:rPr>
          <w:rStyle w:val="VerbatimChar"/>
        </w:rPr>
        <w:t xml:space="preserve">Mas_Vnr_Area        3.927e+01  4.391e+00   8.945  &lt; 2e-16 ***</w:t>
      </w:r>
      <w:r>
        <w:br w:type="textWrapping"/>
      </w:r>
      <w:r>
        <w:rPr>
          <w:rStyle w:val="VerbatimChar"/>
        </w:rPr>
        <w:t xml:space="preserve">BsmtFin_SF_1        1.206e+02  3.998e+02   0.302 0.763032    </w:t>
      </w:r>
      <w:r>
        <w:br w:type="textWrapping"/>
      </w:r>
      <w:r>
        <w:rPr>
          <w:rStyle w:val="VerbatimChar"/>
        </w:rPr>
        <w:t xml:space="preserve">BsmtFin_SF_2       -1.108e+01  4.231e+00  -2.619 0.008867 ** </w:t>
      </w:r>
      <w:r>
        <w:br w:type="textWrapping"/>
      </w:r>
      <w:r>
        <w:rPr>
          <w:rStyle w:val="VerbatimChar"/>
        </w:rPr>
        <w:t xml:space="preserve">Bsmt_Unf_SF        -1.231e+01  2.668e+00  -4.614 4.13e-06 ***</w:t>
      </w:r>
      <w:r>
        <w:br w:type="textWrapping"/>
      </w:r>
      <w:r>
        <w:rPr>
          <w:rStyle w:val="VerbatimChar"/>
        </w:rPr>
        <w:t xml:space="preserve">Total_Bsmt_SF       3.797e+01  3.310e+00  11.471  &lt; 2e-16 ***</w:t>
      </w:r>
      <w:r>
        <w:br w:type="textWrapping"/>
      </w:r>
      <w:r>
        <w:rPr>
          <w:rStyle w:val="VerbatimChar"/>
        </w:rPr>
        <w:t xml:space="preserve">First_Flr_SF        6.133e+01  4.009e+00  15.299  &lt; 2e-16 ***</w:t>
      </w:r>
      <w:r>
        <w:br w:type="textWrapping"/>
      </w:r>
      <w:r>
        <w:rPr>
          <w:rStyle w:val="VerbatimChar"/>
        </w:rPr>
        <w:t xml:space="preserve">Second_Flr_SF       6.045e+01  3.541e+00  17.074  &lt; 2e-16 ***</w:t>
      </w:r>
      <w:r>
        <w:br w:type="textWrapping"/>
      </w:r>
      <w:r>
        <w:rPr>
          <w:rStyle w:val="VerbatimChar"/>
        </w:rPr>
        <w:t xml:space="preserve">Low_Qual_Fin_SF     1.283e+01  1.479e+01   0.868 0.385692    </w:t>
      </w:r>
      <w:r>
        <w:br w:type="textWrapping"/>
      </w:r>
      <w:r>
        <w:rPr>
          <w:rStyle w:val="VerbatimChar"/>
        </w:rPr>
        <w:t xml:space="preserve">Gr_Liv_Area                NA         NA      NA       NA    </w:t>
      </w:r>
      <w:r>
        <w:br w:type="textWrapping"/>
      </w:r>
      <w:r>
        <w:rPr>
          <w:rStyle w:val="VerbatimChar"/>
        </w:rPr>
        <w:t xml:space="preserve">Bsmt_Full_Bath      6.293e+03  1.856e+03   3.390 0.000707 ***</w:t>
      </w:r>
      <w:r>
        <w:br w:type="textWrapping"/>
      </w:r>
      <w:r>
        <w:rPr>
          <w:rStyle w:val="VerbatimChar"/>
        </w:rPr>
        <w:t xml:space="preserve">Bsmt_Half_Bath     -1.859e+03  2.914e+03  -0.638 0.523652    </w:t>
      </w:r>
      <w:r>
        <w:br w:type="textWrapping"/>
      </w:r>
      <w:r>
        <w:rPr>
          <w:rStyle w:val="VerbatimChar"/>
        </w:rPr>
        <w:t xml:space="preserve">Full_Bath           1.921e+03  1.998e+03   0.961 0.336586    </w:t>
      </w:r>
      <w:r>
        <w:br w:type="textWrapping"/>
      </w:r>
      <w:r>
        <w:rPr>
          <w:rStyle w:val="VerbatimChar"/>
        </w:rPr>
        <w:t xml:space="preserve">Half_Bath          -2.438e+03  1.935e+03  -1.260 0.207794    </w:t>
      </w:r>
      <w:r>
        <w:br w:type="textWrapping"/>
      </w:r>
      <w:r>
        <w:rPr>
          <w:rStyle w:val="VerbatimChar"/>
        </w:rPr>
        <w:t xml:space="preserve">Bedroom_AbvGr      -9.685e+03  1.216e+03  -7.963 2.39e-15 ***</w:t>
      </w:r>
      <w:r>
        <w:br w:type="textWrapping"/>
      </w:r>
      <w:r>
        <w:rPr>
          <w:rStyle w:val="VerbatimChar"/>
        </w:rPr>
        <w:t xml:space="preserve">Kitchen_AbvGr      -3.485e+04  3.621e+03  -9.623  &lt; 2e-16 ***</w:t>
      </w:r>
      <w:r>
        <w:br w:type="textWrapping"/>
      </w:r>
      <w:r>
        <w:rPr>
          <w:rStyle w:val="VerbatimChar"/>
        </w:rPr>
        <w:t xml:space="preserve">TotRms_AbvGrd       4.501e+03  8.811e+02   5.108 3.47e-07 ***</w:t>
      </w:r>
      <w:r>
        <w:br w:type="textWrapping"/>
      </w:r>
      <w:r>
        <w:rPr>
          <w:rStyle w:val="VerbatimChar"/>
        </w:rPr>
        <w:t xml:space="preserve">Fireplaces          7.561e+03  1.265e+03   5.976 2.57e-09 ***</w:t>
      </w:r>
      <w:r>
        <w:br w:type="textWrapping"/>
      </w:r>
      <w:r>
        <w:rPr>
          <w:rStyle w:val="VerbatimChar"/>
        </w:rPr>
        <w:t xml:space="preserve">Garage_Cars         8.144e+03  2.093e+03   3.890 0.000102 ***</w:t>
      </w:r>
      <w:r>
        <w:br w:type="textWrapping"/>
      </w:r>
      <w:r>
        <w:rPr>
          <w:rStyle w:val="VerbatimChar"/>
        </w:rPr>
        <w:t xml:space="preserve">Garage_Area         2.091e+01  7.215e+00   2.899 0.003777 ** </w:t>
      </w:r>
      <w:r>
        <w:br w:type="textWrapping"/>
      </w:r>
      <w:r>
        <w:rPr>
          <w:rStyle w:val="VerbatimChar"/>
        </w:rPr>
        <w:t xml:space="preserve">Wood_Deck_SF        2.301e+01  5.796e+00   3.969 7.38e-05 ***</w:t>
      </w:r>
      <w:r>
        <w:br w:type="textWrapping"/>
      </w:r>
      <w:r>
        <w:rPr>
          <w:rStyle w:val="VerbatimChar"/>
        </w:rPr>
        <w:t xml:space="preserve">Open_Porch_SF      -6.850e+00  1.085e+01  -0.631 0.528062    </w:t>
      </w:r>
      <w:r>
        <w:br w:type="textWrapping"/>
      </w:r>
      <w:r>
        <w:rPr>
          <w:rStyle w:val="VerbatimChar"/>
        </w:rPr>
        <w:t xml:space="preserve">Enclosed_Porch      2.789e+01  1.145e+01   2.435 0.014956 *  </w:t>
      </w:r>
      <w:r>
        <w:br w:type="textWrapping"/>
      </w:r>
      <w:r>
        <w:rPr>
          <w:rStyle w:val="VerbatimChar"/>
        </w:rPr>
        <w:t xml:space="preserve">Three_season_porch  1.008e+01  2.657e+01   0.379 0.704393    </w:t>
      </w:r>
      <w:r>
        <w:br w:type="textWrapping"/>
      </w:r>
      <w:r>
        <w:rPr>
          <w:rStyle w:val="VerbatimChar"/>
        </w:rPr>
        <w:t xml:space="preserve">Screen_Porch        6.287e+01  1.230e+01   5.113 3.38e-07 ***</w:t>
      </w:r>
      <w:r>
        <w:br w:type="textWrapping"/>
      </w:r>
      <w:r>
        <w:rPr>
          <w:rStyle w:val="VerbatimChar"/>
        </w:rPr>
        <w:t xml:space="preserve">Pool_Area          -6.753e+01  1.940e+01  -3.482 0.000505 ***</w:t>
      </w:r>
      <w:r>
        <w:br w:type="textWrapping"/>
      </w:r>
      <w:r>
        <w:rPr>
          <w:rStyle w:val="VerbatimChar"/>
        </w:rPr>
        <w:t xml:space="preserve">Misc_Val           -9.684e+00  1.197e+00  -8.092 8.52e-16 ***</w:t>
      </w:r>
      <w:r>
        <w:br w:type="textWrapping"/>
      </w:r>
      <w:r>
        <w:rPr>
          <w:rStyle w:val="VerbatimChar"/>
        </w:rPr>
        <w:t xml:space="preserve">Mo_Sold             8.798e+01  2.492e+02   0.353 0.724065    </w:t>
      </w:r>
      <w:r>
        <w:br w:type="textWrapping"/>
      </w:r>
      <w:r>
        <w:rPr>
          <w:rStyle w:val="VerbatimChar"/>
        </w:rPr>
        <w:t xml:space="preserve">Year_Sold          -9.415e+02  5.141e+02  -1.831 0.067140 .  </w:t>
      </w:r>
      <w:r>
        <w:br w:type="textWrapping"/>
      </w:r>
      <w:r>
        <w:rPr>
          <w:rStyle w:val="VerbatimChar"/>
        </w:rPr>
        <w:t xml:space="preserve">Overall_Qual        4.832e+03  1.133e+03   4.264 2.07e-05 ***</w:t>
      </w:r>
      <w:r>
        <w:br w:type="textWrapping"/>
      </w:r>
      <w:r>
        <w:rPr>
          <w:rStyle w:val="VerbatimChar"/>
        </w:rPr>
        <w:t xml:space="preserve">Overall_Cond       -2.727e+03  1.385e+03  -1.968 0.049112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35860 on 2896 degrees of freedom</w:t>
      </w:r>
      <w:r>
        <w:br w:type="textWrapping"/>
      </w:r>
      <w:r>
        <w:rPr>
          <w:rStyle w:val="VerbatimChar"/>
        </w:rPr>
        <w:t xml:space="preserve">Multiple R-squared:  0.8008,    Adjusted R-squared:  0.7985 </w:t>
      </w:r>
      <w:r>
        <w:br w:type="textWrapping"/>
      </w:r>
      <w:r>
        <w:rPr>
          <w:rStyle w:val="VerbatimChar"/>
        </w:rPr>
        <w:t xml:space="preserve">F-statistic: 352.7 on 33 and 2896 DF,  p-value: &lt; 2.2e-16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6" w:name="le-test-dinflation-de-la-variance-vif"/>
      <w:r>
        <w:t xml:space="preserve">Le test d’inflation de la variance (VIF)</w:t>
      </w:r>
      <w:bookmarkEnd w:id="36"/>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5.782448</w:t>
            </w:r>
          </w:p>
        </w:tc>
      </w:tr>
      <w:tr>
        <w:tc>
          <w:p>
            <w:pPr>
              <w:pStyle w:val="Compact"/>
              <w:jc w:val="left"/>
            </w:pPr>
            <w:r>
              <w:t xml:space="preserve">First_Flr_SF</w:t>
            </w:r>
          </w:p>
        </w:tc>
        <w:tc>
          <w:p>
            <w:pPr>
              <w:pStyle w:val="Compact"/>
              <w:jc w:val="right"/>
            </w:pPr>
            <w:r>
              <w:t xml:space="preserve">5.621102</w:t>
            </w:r>
          </w:p>
        </w:tc>
      </w:tr>
      <w:tr>
        <w:tc>
          <w:p>
            <w:pPr>
              <w:pStyle w:val="Compact"/>
              <w:jc w:val="left"/>
            </w:pPr>
            <w:r>
              <w:t xml:space="preserve">Garage_Area</w:t>
            </w:r>
          </w:p>
        </w:tc>
        <w:tc>
          <w:p>
            <w:pPr>
              <w:pStyle w:val="Compact"/>
              <w:jc w:val="right"/>
            </w:pPr>
            <w:r>
              <w:t xml:space="preserve">5.490191</w:t>
            </w:r>
          </w:p>
        </w:tc>
      </w:tr>
      <w:tr>
        <w:tc>
          <w:p>
            <w:pPr>
              <w:pStyle w:val="Compact"/>
              <w:jc w:val="left"/>
            </w:pPr>
            <w:r>
              <w:t xml:space="preserve">Second_Flr_SF</w:t>
            </w:r>
          </w:p>
        </w:tc>
        <w:tc>
          <w:p>
            <w:pPr>
              <w:pStyle w:val="Compact"/>
              <w:jc w:val="right"/>
            </w:pPr>
            <w:r>
              <w:t xml:space="preserve">5.239438</w:t>
            </w:r>
          </w:p>
        </w:tc>
      </w:tr>
      <w:tr>
        <w:tc>
          <w:p>
            <w:pPr>
              <w:pStyle w:val="Compact"/>
              <w:jc w:val="left"/>
            </w:pPr>
            <w:r>
              <w:t xml:space="preserve">Total_Bsmt_SF</w:t>
            </w:r>
          </w:p>
        </w:tc>
        <w:tc>
          <w:p>
            <w:pPr>
              <w:pStyle w:val="Compact"/>
              <w:jc w:val="right"/>
            </w:pPr>
            <w:r>
              <w:t xml:space="preserve">4.852067</w:t>
            </w:r>
          </w:p>
        </w:tc>
      </w:tr>
      <w:tr>
        <w:tc>
          <w:p>
            <w:pPr>
              <w:pStyle w:val="Compact"/>
              <w:jc w:val="left"/>
            </w:pPr>
            <w:r>
              <w:t xml:space="preserve">TotRms_AbvGrd</w:t>
            </w:r>
          </w:p>
        </w:tc>
        <w:tc>
          <w:p>
            <w:pPr>
              <w:pStyle w:val="Compact"/>
              <w:jc w:val="right"/>
            </w:pPr>
            <w:r>
              <w:t xml:space="preserve">4.374937</w:t>
            </w:r>
          </w:p>
        </w:tc>
      </w:tr>
      <w:tr>
        <w:tc>
          <w:p>
            <w:pPr>
              <w:pStyle w:val="Compact"/>
              <w:jc w:val="left"/>
            </w:pPr>
            <w:r>
              <w:t xml:space="preserve">Year_Built</w:t>
            </w:r>
          </w:p>
        </w:tc>
        <w:tc>
          <w:p>
            <w:pPr>
              <w:pStyle w:val="Compact"/>
              <w:jc w:val="right"/>
            </w:pPr>
            <w:r>
              <w:t xml:space="preserve">3.485062</w:t>
            </w:r>
          </w:p>
        </w:tc>
      </w:tr>
      <w:tr>
        <w:tc>
          <w:p>
            <w:pPr>
              <w:pStyle w:val="Compact"/>
              <w:jc w:val="left"/>
            </w:pPr>
            <w:r>
              <w:t xml:space="preserve">Bsmt_Unf_SF</w:t>
            </w:r>
          </w:p>
        </w:tc>
        <w:tc>
          <w:p>
            <w:pPr>
              <w:pStyle w:val="Compact"/>
              <w:jc w:val="right"/>
            </w:pPr>
            <w:r>
              <w:t xml:space="preserve">3.133109</w:t>
            </w:r>
          </w:p>
        </w:tc>
      </w:tr>
      <w:tr>
        <w:tc>
          <w:p>
            <w:pPr>
              <w:pStyle w:val="Compact"/>
              <w:jc w:val="left"/>
            </w:pPr>
            <w:r>
              <w:t xml:space="preserve">Full_Bath</w:t>
            </w:r>
          </w:p>
        </w:tc>
        <w:tc>
          <w:p>
            <w:pPr>
              <w:pStyle w:val="Compact"/>
              <w:jc w:val="right"/>
            </w:pPr>
            <w:r>
              <w:t xml:space="preserve">2.781099</w:t>
            </w:r>
          </w:p>
        </w:tc>
      </w:tr>
      <w:tr>
        <w:tc>
          <w:p>
            <w:pPr>
              <w:pStyle w:val="Compact"/>
              <w:jc w:val="left"/>
            </w:pPr>
            <w:r>
              <w:t xml:space="preserve">Bedroom_AbvGr</w:t>
            </w:r>
          </w:p>
        </w:tc>
        <w:tc>
          <w:p>
            <w:pPr>
              <w:pStyle w:val="Compact"/>
              <w:jc w:val="right"/>
            </w:pPr>
            <w:r>
              <w:t xml:space="preserve">2.308298</w:t>
            </w:r>
          </w:p>
        </w:tc>
      </w:tr>
      <w:tr>
        <w:tc>
          <w:p>
            <w:pPr>
              <w:pStyle w:val="Compact"/>
              <w:jc w:val="left"/>
            </w:pPr>
            <w:r>
              <w:t xml:space="preserve">Bsmt_Full_Bath</w:t>
            </w:r>
          </w:p>
        </w:tc>
        <w:tc>
          <w:p>
            <w:pPr>
              <w:pStyle w:val="Compact"/>
              <w:jc w:val="right"/>
            </w:pPr>
            <w:r>
              <w:t xml:space="preserve">2.160834</w:t>
            </w:r>
          </w:p>
        </w:tc>
      </w:tr>
      <w:tr>
        <w:tc>
          <w:p>
            <w:pPr>
              <w:pStyle w:val="Compact"/>
              <w:jc w:val="left"/>
            </w:pPr>
            <w:r>
              <w:t xml:space="preserve">Half_Bath</w:t>
            </w:r>
          </w:p>
        </w:tc>
        <w:tc>
          <w:p>
            <w:pPr>
              <w:pStyle w:val="Compact"/>
              <w:jc w:val="right"/>
            </w:pPr>
            <w:r>
              <w:t xml:space="preserve">2.154828</w:t>
            </w:r>
          </w:p>
        </w:tc>
      </w:tr>
      <w:tr>
        <w:tc>
          <w:p>
            <w:pPr>
              <w:pStyle w:val="Compact"/>
              <w:jc w:val="left"/>
            </w:pPr>
            <w:r>
              <w:t xml:space="preserve">Year_Remod_Add</w:t>
            </w:r>
          </w:p>
        </w:tc>
        <w:tc>
          <w:p>
            <w:pPr>
              <w:pStyle w:val="Compact"/>
              <w:jc w:val="right"/>
            </w:pPr>
            <w:r>
              <w:t xml:space="preserve">1.903989</w:t>
            </w:r>
          </w:p>
        </w:tc>
      </w:tr>
      <w:tr>
        <w:tc>
          <w:p>
            <w:pPr>
              <w:pStyle w:val="Compact"/>
              <w:jc w:val="left"/>
            </w:pPr>
            <w:r>
              <w:t xml:space="preserve">BsmtFin_SF_1</w:t>
            </w:r>
          </w:p>
        </w:tc>
        <w:tc>
          <w:p>
            <w:pPr>
              <w:pStyle w:val="Compact"/>
              <w:jc w:val="right"/>
            </w:pPr>
            <w:r>
              <w:t xml:space="preserve">1.815757</w:t>
            </w:r>
          </w:p>
        </w:tc>
      </w:tr>
      <w:tr>
        <w:tc>
          <w:p>
            <w:pPr>
              <w:pStyle w:val="Compact"/>
              <w:jc w:val="left"/>
            </w:pPr>
            <w:r>
              <w:t xml:space="preserve">Overall_Cond</w:t>
            </w:r>
          </w:p>
        </w:tc>
        <w:tc>
          <w:p>
            <w:pPr>
              <w:pStyle w:val="Compact"/>
              <w:jc w:val="right"/>
            </w:pPr>
            <w:r>
              <w:t xml:space="preserve">1.593992</w:t>
            </w:r>
          </w:p>
        </w:tc>
      </w:tr>
      <w:tr>
        <w:tc>
          <w:p>
            <w:pPr>
              <w:pStyle w:val="Compact"/>
              <w:jc w:val="left"/>
            </w:pPr>
            <w:r>
              <w:t xml:space="preserve">Fireplaces</w:t>
            </w:r>
          </w:p>
        </w:tc>
        <w:tc>
          <w:p>
            <w:pPr>
              <w:pStyle w:val="Compact"/>
              <w:jc w:val="right"/>
            </w:pPr>
            <w:r>
              <w:t xml:space="preserve">1.530591</w:t>
            </w:r>
          </w:p>
        </w:tc>
      </w:tr>
      <w:tr>
        <w:tc>
          <w:p>
            <w:pPr>
              <w:pStyle w:val="Compact"/>
              <w:jc w:val="left"/>
            </w:pPr>
            <w:r>
              <w:t xml:space="preserve">Mas_Vnr_Area</w:t>
            </w:r>
          </w:p>
        </w:tc>
        <w:tc>
          <w:p>
            <w:pPr>
              <w:pStyle w:val="Compact"/>
              <w:jc w:val="right"/>
            </w:pPr>
            <w:r>
              <w:t xml:space="preserve">1.401067</w:t>
            </w:r>
          </w:p>
        </w:tc>
      </w:tr>
      <w:tr>
        <w:tc>
          <w:p>
            <w:pPr>
              <w:pStyle w:val="Compact"/>
              <w:jc w:val="left"/>
            </w:pPr>
            <w:r>
              <w:t xml:space="preserve">Kitchen_AbvGr</w:t>
            </w:r>
          </w:p>
        </w:tc>
        <w:tc>
          <w:p>
            <w:pPr>
              <w:pStyle w:val="Compact"/>
              <w:jc w:val="right"/>
            </w:pPr>
            <w:r>
              <w:t xml:space="preserve">1.368572</w:t>
            </w:r>
          </w:p>
        </w:tc>
      </w:tr>
      <w:tr>
        <w:tc>
          <w:p>
            <w:pPr>
              <w:pStyle w:val="Compact"/>
              <w:jc w:val="left"/>
            </w:pPr>
            <w:r>
              <w:t xml:space="preserve">Enclosed_Porch</w:t>
            </w:r>
          </w:p>
        </w:tc>
        <w:tc>
          <w:p>
            <w:pPr>
              <w:pStyle w:val="Compact"/>
              <w:jc w:val="right"/>
            </w:pPr>
            <w:r>
              <w:t xml:space="preserve">1.229260</w:t>
            </w:r>
          </w:p>
        </w:tc>
      </w:tr>
      <w:tr>
        <w:tc>
          <w:p>
            <w:pPr>
              <w:pStyle w:val="Compact"/>
              <w:jc w:val="left"/>
            </w:pPr>
            <w:r>
              <w:t xml:space="preserve">Open_Porch_SF</w:t>
            </w:r>
          </w:p>
        </w:tc>
        <w:tc>
          <w:p>
            <w:pPr>
              <w:pStyle w:val="Compact"/>
              <w:jc w:val="right"/>
            </w:pPr>
            <w:r>
              <w:t xml:space="preserve">1.222014</w:t>
            </w:r>
          </w:p>
        </w:tc>
      </w:tr>
      <w:tr>
        <w:tc>
          <w:p>
            <w:pPr>
              <w:pStyle w:val="Compact"/>
              <w:jc w:val="left"/>
            </w:pPr>
            <w:r>
              <w:t xml:space="preserve">Wood_Deck_SF</w:t>
            </w:r>
          </w:p>
        </w:tc>
        <w:tc>
          <w:p>
            <w:pPr>
              <w:pStyle w:val="Compact"/>
              <w:jc w:val="right"/>
            </w:pPr>
            <w:r>
              <w:t xml:space="preserve">1.221570</w:t>
            </w:r>
          </w:p>
        </w:tc>
      </w:tr>
      <w:tr>
        <w:tc>
          <w:p>
            <w:pPr>
              <w:pStyle w:val="Compact"/>
              <w:jc w:val="left"/>
            </w:pPr>
            <w:r>
              <w:t xml:space="preserve">Lot_Area</w:t>
            </w:r>
          </w:p>
        </w:tc>
        <w:tc>
          <w:p>
            <w:pPr>
              <w:pStyle w:val="Compact"/>
              <w:jc w:val="right"/>
            </w:pPr>
            <w:r>
              <w:t xml:space="preserve">1.213170</w:t>
            </w:r>
          </w:p>
        </w:tc>
      </w:tr>
      <w:tr>
        <w:tc>
          <w:p>
            <w:pPr>
              <w:pStyle w:val="Compact"/>
              <w:jc w:val="left"/>
            </w:pPr>
            <w:r>
              <w:t xml:space="preserve">BsmtFin_SF_2</w:t>
            </w:r>
          </w:p>
        </w:tc>
        <w:tc>
          <w:p>
            <w:pPr>
              <w:pStyle w:val="Compact"/>
              <w:jc w:val="right"/>
            </w:pPr>
            <w:r>
              <w:t xml:space="preserve">1.166567</w:t>
            </w:r>
          </w:p>
        </w:tc>
      </w:tr>
      <w:tr>
        <w:tc>
          <w:p>
            <w:pPr>
              <w:pStyle w:val="Compact"/>
              <w:jc w:val="left"/>
            </w:pPr>
            <w:r>
              <w:t xml:space="preserve">Bsmt_Half_Bath</w:t>
            </w:r>
          </w:p>
        </w:tc>
        <w:tc>
          <w:p>
            <w:pPr>
              <w:pStyle w:val="Compact"/>
              <w:jc w:val="right"/>
            </w:pPr>
            <w:r>
              <w:t xml:space="preserve">1.162543</w:t>
            </w:r>
          </w:p>
        </w:tc>
      </w:tr>
      <w:tr>
        <w:tc>
          <w:p>
            <w:pPr>
              <w:pStyle w:val="Compact"/>
              <w:jc w:val="left"/>
            </w:pPr>
            <w:r>
              <w:t xml:space="preserve">Overall_Qual</w:t>
            </w:r>
          </w:p>
        </w:tc>
        <w:tc>
          <w:p>
            <w:pPr>
              <w:pStyle w:val="Compact"/>
              <w:jc w:val="right"/>
            </w:pPr>
            <w:r>
              <w:t xml:space="preserve">1.151565</w:t>
            </w:r>
          </w:p>
        </w:tc>
      </w:tr>
      <w:tr>
        <w:tc>
          <w:p>
            <w:pPr>
              <w:pStyle w:val="Compact"/>
              <w:jc w:val="left"/>
            </w:pPr>
            <w:r>
              <w:t xml:space="preserve">Lot_Frontage</w:t>
            </w:r>
          </w:p>
        </w:tc>
        <w:tc>
          <w:p>
            <w:pPr>
              <w:pStyle w:val="Compact"/>
              <w:jc w:val="right"/>
            </w:pPr>
            <w:r>
              <w:t xml:space="preserve">1.134773</w:t>
            </w:r>
          </w:p>
        </w:tc>
      </w:tr>
      <w:tr>
        <w:tc>
          <w:p>
            <w:pPr>
              <w:pStyle w:val="Compact"/>
              <w:jc w:val="left"/>
            </w:pPr>
            <w:r>
              <w:t xml:space="preserve">Pool_Area</w:t>
            </w:r>
          </w:p>
        </w:tc>
        <w:tc>
          <w:p>
            <w:pPr>
              <w:pStyle w:val="Compact"/>
              <w:jc w:val="right"/>
            </w:pPr>
            <w:r>
              <w:t xml:space="preserve">1.085737</w:t>
            </w:r>
          </w:p>
        </w:tc>
      </w:tr>
      <w:tr>
        <w:tc>
          <w:p>
            <w:pPr>
              <w:pStyle w:val="Compact"/>
              <w:jc w:val="left"/>
            </w:pPr>
            <w:r>
              <w:t xml:space="preserve">Screen_Porch</w:t>
            </w:r>
          </w:p>
        </w:tc>
        <w:tc>
          <w:p>
            <w:pPr>
              <w:pStyle w:val="Compact"/>
              <w:jc w:val="right"/>
            </w:pPr>
            <w:r>
              <w:t xml:space="preserve">1.083278</w:t>
            </w:r>
          </w:p>
        </w:tc>
      </w:tr>
      <w:tr>
        <w:tc>
          <w:p>
            <w:pPr>
              <w:pStyle w:val="Compact"/>
              <w:jc w:val="left"/>
            </w:pPr>
            <w:r>
              <w:t xml:space="preserve">Low_Qual_Fin_SF</w:t>
            </w:r>
          </w:p>
        </w:tc>
        <w:tc>
          <w:p>
            <w:pPr>
              <w:pStyle w:val="Compact"/>
              <w:jc w:val="right"/>
            </w:pPr>
            <w:r>
              <w:t xml:space="preserve">1.068623</w:t>
            </w:r>
          </w:p>
        </w:tc>
      </w:tr>
      <w:tr>
        <w:tc>
          <w:p>
            <w:pPr>
              <w:pStyle w:val="Compact"/>
              <w:jc w:val="left"/>
            </w:pPr>
            <w:r>
              <w:t xml:space="preserve">Misc_Val</w:t>
            </w:r>
          </w:p>
        </w:tc>
        <w:tc>
          <w:p>
            <w:pPr>
              <w:pStyle w:val="Compact"/>
              <w:jc w:val="right"/>
            </w:pPr>
            <w:r>
              <w:t xml:space="preserve">1.046066</w:t>
            </w:r>
          </w:p>
        </w:tc>
      </w:tr>
      <w:tr>
        <w:tc>
          <w:p>
            <w:pPr>
              <w:pStyle w:val="Compact"/>
              <w:jc w:val="left"/>
            </w:pPr>
            <w:r>
              <w:t xml:space="preserve">Year_Sold</w:t>
            </w:r>
          </w:p>
        </w:tc>
        <w:tc>
          <w:p>
            <w:pPr>
              <w:pStyle w:val="Compact"/>
              <w:jc w:val="right"/>
            </w:pPr>
            <w:r>
              <w:t xml:space="preserve">1.043450</w:t>
            </w:r>
          </w:p>
        </w:tc>
      </w:tr>
      <w:tr>
        <w:tc>
          <w:p>
            <w:pPr>
              <w:pStyle w:val="Compact"/>
              <w:jc w:val="left"/>
            </w:pPr>
            <w:r>
              <w:t xml:space="preserve">Mo_Sold</w:t>
            </w:r>
          </w:p>
        </w:tc>
        <w:tc>
          <w:p>
            <w:pPr>
              <w:pStyle w:val="Compact"/>
              <w:jc w:val="right"/>
            </w:pPr>
            <w:r>
              <w:t xml:space="preserve">1.041965</w:t>
            </w:r>
          </w:p>
        </w:tc>
      </w:tr>
      <w:tr>
        <w:tc>
          <w:p>
            <w:pPr>
              <w:pStyle w:val="Compact"/>
              <w:jc w:val="left"/>
            </w:pPr>
            <w:r>
              <w:t xml:space="preserve">Three_season_porch</w:t>
            </w:r>
          </w:p>
        </w:tc>
        <w:tc>
          <w:p>
            <w:pPr>
              <w:pStyle w:val="Compact"/>
              <w:jc w:val="right"/>
            </w:pPr>
            <w:r>
              <w:t xml:space="preserve">1.016186</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7" w:name="vérifions-lhypothèse-de-normalité-des-résidus"/>
      <w:r>
        <w:t xml:space="preserve">Vérifions l’hypothèse de normalité des résidus</w:t>
      </w:r>
      <w:bookmarkEnd w:id="37"/>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8"/>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A l’aide de l’histogramme nous observons que la distribution ressemble à une loi normale, mais elle est fortement dirigée vers la droite.</w:t>
      </w:r>
      <w:r>
        <w:t xml:space="preserve"> </w:t>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0.81178, p-value &lt; 2.2e-16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2"/>
      </w:pPr>
      <w:bookmarkStart w:id="39" w:name="régressions-sur-variables-latentes"/>
      <w:r>
        <w:t xml:space="preserve">Régressions sur variables latentes</w:t>
      </w:r>
      <w:bookmarkEnd w:id="39"/>
    </w:p>
    <w:p>
      <w:pPr>
        <w:pStyle w:val="Titre3"/>
      </w:pPr>
      <w:bookmarkStart w:id="40" w:name="pourquoi-faire-une-régression-sur-les-variables-latentes"/>
      <w:r>
        <w:t xml:space="preserve">Pourquoi faire une régression sur les variables latentes ?</w:t>
      </w:r>
      <w:bookmarkEnd w:id="40"/>
    </w:p>
    <w:p>
      <w:pPr>
        <w:pStyle w:val="FirstParagraph"/>
      </w:pPr>
      <w:r>
        <w:t xml:space="preserve">Les méthodes de régressions sur les latentes nous permettent d’adresser certaines limites que posent les méthodes de régression sur les moindres carrés. En effet pour qu’une régression par les OLS soit sans biais il faut que les hypothèses posées par les OLS soit vérifiées. Parmi ces hypothèses nous pouvons citer l’absence de corrélations entre les variables et l’absence de multicolinéarité entre les variables.</w:t>
      </w:r>
    </w:p>
    <w:p>
      <w:pPr>
        <w:pStyle w:val="Corpsdetexte"/>
      </w:pPr>
      <w:r>
        <w:t xml:space="preserve">Or en général les phénomènes que nous cherchons à expliquer, ici le prix de vente du bien immobilier, ne vérifient pas toujours ces hypothèses à cause entre autres de la non indépendance des phénomènes. Cette situation nous amène à des résultats potentiellement biasés et non généralisables pour expliquer le phénomène.</w:t>
      </w:r>
      <w:r>
        <w:t xml:space="preserve"> </w:t>
      </w:r>
      <w:r>
        <w:t xml:space="preserve">La méthode de régression sur les variables nous permettent donc de corriger ces limites des régression standards en créant des variables synthétiques sur lesquelles nous allons faire les estimations.</w:t>
      </w:r>
      <w:r>
        <w:t xml:space="preserve"> </w:t>
      </w: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entièrement faire des régressions en vérifiant les hypothèses des OLS standards.</w:t>
      </w:r>
    </w:p>
    <w:p>
      <w:pPr>
        <w:pStyle w:val="Corpsdetexte"/>
      </w:pPr>
      <w:r>
        <w:t xml:space="preserve">Pour mettre en place ces méthodes, nous allons utiliser la procédure PLS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multivariée uniquement lorsqu’il y a plusieurs réponses.</w:t>
      </w:r>
    </w:p>
    <w:p>
      <w:pPr>
        <w:numPr>
          <w:numId w:val="1001"/>
          <w:ilvl w:val="0"/>
        </w:numPr>
      </w:pPr>
      <w:r>
        <w:t xml:space="preserve">La régression sur les moindres carrés partiels, qui équilibre les deux objectifs d’explication de la variation de la réponse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w:t>
      </w:r>
    </w:p>
    <w:p>
      <w:pPr>
        <w:pStyle w:val="Titre2"/>
      </w:pPr>
      <w:bookmarkStart w:id="41" w:name="régréssion-sur-composantes-principales"/>
      <w:r>
        <w:t xml:space="preserve">Régréssion sur composantes principales</w:t>
      </w:r>
      <w:bookmarkEnd w:id="41"/>
    </w:p>
    <w:p>
      <w:pPr>
        <w:pStyle w:val="FirstParagraph"/>
      </w:pPr>
      <w:r>
        <w:t xml:space="preserve">La méthode de régression sur composantes principales consiste à effectuer une régression linéaire simple ou multiple sur les coordonnées des individus projetés dans un plan factoriel à k dimensions avec k strictement plus petit que le nombre de variables initial.</w:t>
      </w:r>
    </w:p>
    <w:p>
      <w:pPr>
        <w:pStyle w:val="Corpsdetexte"/>
      </w:pPr>
      <w:r>
        <w:t xml:space="preserve">Pour cette méthode, nous allons utiliser conjointement SAS et R.</w:t>
      </w:r>
    </w:p>
    <w:p>
      <w:pPr>
        <w:pStyle w:val="Titre2"/>
      </w:pPr>
      <w:bookmarkStart w:id="42" w:name="résultats-destimations-avec-sas"/>
      <w:r>
        <w:t xml:space="preserve">Résultats d’estimations avec SAS</w:t>
      </w:r>
      <w:bookmarkEnd w:id="42"/>
    </w:p>
    <w:p>
      <w:pPr>
        <w:pStyle w:val="FirstParagraph"/>
      </w:pPr>
      <w:r>
        <w:drawing>
          <wp:inline>
            <wp:extent cx="5265018" cy="3330341"/>
            <wp:effectExtent b="0" l="0" r="0" t="0"/>
            <wp:docPr descr="" title="" id="1" name="Picture"/>
            <a:graphic>
              <a:graphicData uri="http://schemas.openxmlformats.org/drawingml/2006/picture">
                <pic:pic>
                  <pic:nvPicPr>
                    <pic:cNvPr descr="pcr-img/pcr_general_info.PNG" id="0" name="Picture"/>
                    <pic:cNvPicPr>
                      <a:picLocks noChangeArrowheads="1" noChangeAspect="1"/>
                    </pic:cNvPicPr>
                  </pic:nvPicPr>
                  <pic:blipFill>
                    <a:blip r:embed="rId43"/>
                    <a:stretch>
                      <a:fillRect/>
                    </a:stretch>
                  </pic:blipFill>
                  <pic:spPr bwMode="auto">
                    <a:xfrm>
                      <a:off x="0" y="0"/>
                      <a:ext cx="5265018" cy="3330341"/>
                    </a:xfrm>
                    <a:prstGeom prst="rect">
                      <a:avLst/>
                    </a:prstGeom>
                    <a:noFill/>
                    <a:ln w="9525">
                      <a:noFill/>
                      <a:headEnd/>
                      <a:tailEnd/>
                    </a:ln>
                  </pic:spPr>
                </pic:pic>
              </a:graphicData>
            </a:graphic>
          </wp:inline>
        </w:drawing>
      </w:r>
    </w:p>
    <w:p>
      <w:pPr>
        <w:pStyle w:val="Corpsdetexte"/>
      </w:pPr>
      <w:r>
        <w:drawing>
          <wp:inline>
            <wp:extent cx="5938787" cy="5053263"/>
            <wp:effectExtent b="0" l="0" r="0" t="0"/>
            <wp:docPr descr="" title="" id="1" name="Picture"/>
            <a:graphic>
              <a:graphicData uri="http://schemas.openxmlformats.org/drawingml/2006/picture">
                <pic:pic>
                  <pic:nvPicPr>
                    <pic:cNvPr descr="pcr-img/pcr_split-sample.PNG" id="0" name="Picture"/>
                    <pic:cNvPicPr>
                      <a:picLocks noChangeArrowheads="1" noChangeAspect="1"/>
                    </pic:cNvPicPr>
                  </pic:nvPicPr>
                  <pic:blipFill>
                    <a:blip r:embed="rId44"/>
                    <a:stretch>
                      <a:fillRect/>
                    </a:stretch>
                  </pic:blipFill>
                  <pic:spPr bwMode="auto">
                    <a:xfrm>
                      <a:off x="0" y="0"/>
                      <a:ext cx="5938787" cy="5053263"/>
                    </a:xfrm>
                    <a:prstGeom prst="rect">
                      <a:avLst/>
                    </a:prstGeom>
                    <a:noFill/>
                    <a:ln w="9525">
                      <a:noFill/>
                      <a:headEnd/>
                      <a:tailEnd/>
                    </a:ln>
                  </pic:spPr>
                </pic:pic>
              </a:graphicData>
            </a:graphic>
          </wp:inline>
        </w:drawing>
      </w: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L’efficaité prédictive est évaluée à l’aide l’indicateur PRESS (Predicted REsidual Sum of Squares).</w:t>
      </w:r>
      <w:r>
        <w:t xml:space="preserve"> </w:t>
      </w: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r>
        <w:br w:type="textWrapping"/>
      </w:r>
      <w:r>
        <w:t xml:space="preserve">Le test nous indique qu’à partir de la 4e composante il n’existe plus de différences significatives entre les composantes. Nous allons donc retenir 5 composantes pour la suite de l’analyse.</w:t>
      </w:r>
    </w:p>
    <w:p>
      <w:pPr>
        <w:pStyle w:val="Corpsdetexte"/>
      </w:pPr>
      <w:r>
        <w:drawing>
          <wp:inline>
            <wp:extent cx="6160168" cy="4629751"/>
            <wp:effectExtent b="0" l="0" r="0" t="0"/>
            <wp:docPr descr="" title="" id="1" name="Picture"/>
            <a:graphic>
              <a:graphicData uri="http://schemas.openxmlformats.org/drawingml/2006/picture">
                <pic:pic>
                  <pic:nvPicPr>
                    <pic:cNvPr descr="pcr-img/pcr_analysis_val_crois.png" id="0" name="Picture"/>
                    <pic:cNvPicPr>
                      <a:picLocks noChangeArrowheads="1" noChangeAspect="1"/>
                    </pic:cNvPicPr>
                  </pic:nvPicPr>
                  <pic:blipFill>
                    <a:blip r:embed="rId45"/>
                    <a:stretch>
                      <a:fillRect/>
                    </a:stretch>
                  </pic:blipFill>
                  <pic:spPr bwMode="auto">
                    <a:xfrm>
                      <a:off x="0" y="0"/>
                      <a:ext cx="6160168" cy="4629751"/>
                    </a:xfrm>
                    <a:prstGeom prst="rect">
                      <a:avLst/>
                    </a:prstGeom>
                    <a:noFill/>
                    <a:ln w="9525">
                      <a:noFill/>
                      <a:headEnd/>
                      <a:tailEnd/>
                    </a:ln>
                  </pic:spPr>
                </pic:pic>
              </a:graphicData>
            </a:graphic>
          </wp:inline>
        </w:drawing>
      </w:r>
    </w:p>
    <w:p>
      <w:pPr>
        <w:pStyle w:val="Corpsdetexte"/>
      </w:pPr>
      <w:r>
        <w:t xml:space="preserve">Il convient maintenant d’interpréter les résultats du modèle construit.</w:t>
      </w:r>
      <w:r>
        <w:t xml:space="preserve"> </w:t>
      </w:r>
      <w:r>
        <w:t xml:space="preserve">Le tableau suivant affiche la variation de pourcentage expliquée par composantes principales</w:t>
      </w:r>
    </w:p>
    <w:p>
      <w:pPr>
        <w:pStyle w:val="Corpsdetexte"/>
      </w:pPr>
      <w:r>
        <w:drawing>
          <wp:inline>
            <wp:extent cx="5775157" cy="2569945"/>
            <wp:effectExtent b="0" l="0" r="0" t="0"/>
            <wp:docPr descr="" title="" id="1" name="Picture"/>
            <a:graphic>
              <a:graphicData uri="http://schemas.openxmlformats.org/drawingml/2006/picture">
                <pic:pic>
                  <pic:nvPicPr>
                    <pic:cNvPr descr="pcr-img/pcr_results.PNG" id="0" name="Picture"/>
                    <pic:cNvPicPr>
                      <a:picLocks noChangeArrowheads="1" noChangeAspect="1"/>
                    </pic:cNvPicPr>
                  </pic:nvPicPr>
                  <pic:blipFill>
                    <a:blip r:embed="rId46"/>
                    <a:stretch>
                      <a:fillRect/>
                    </a:stretch>
                  </pic:blipFill>
                  <pic:spPr bwMode="auto">
                    <a:xfrm>
                      <a:off x="0" y="0"/>
                      <a:ext cx="5775157" cy="2569945"/>
                    </a:xfrm>
                    <a:prstGeom prst="rect">
                      <a:avLst/>
                    </a:prstGeom>
                    <a:noFill/>
                    <a:ln w="9525">
                      <a:noFill/>
                      <a:headEnd/>
                      <a:tailEnd/>
                    </a:ln>
                  </pic:spPr>
                </pic:pic>
              </a:graphicData>
            </a:graphic>
          </wp:inline>
        </w:drawing>
      </w:r>
    </w:p>
    <w:p>
      <w:pPr>
        <w:pStyle w:val="Corpsdetexte"/>
      </w:pPr>
      <w:r>
        <w:t xml:space="preserve">Le tableau affiche deux catégories de résultats : la variation de pourcentage expliquée par composantes principales sur les effets du modèle et sur la variable dépendante.</w:t>
      </w:r>
      <w:r>
        <w:t xml:space="preserve"> </w:t>
      </w:r>
      <w:r>
        <w:t xml:space="preserve">Les effets du modèle représentent les variables explicatives tandis que la variable dépendante est le prix de la maison que nous cherchons à expliquer.</w:t>
      </w:r>
    </w:p>
    <w:p>
      <w:pPr>
        <w:pStyle w:val="Corpsdetexte"/>
      </w:pPr>
      <w:r>
        <w:t xml:space="preserve">Nous voyons donc que pour les 5 composantes retenues, la régression sur les composantes principales explique près de 76% de la variable dépendante et environ 43% des variables explicatives.</w:t>
      </w:r>
    </w:p>
    <w:p>
      <w:pPr>
        <w:pStyle w:val="Corpsdetexte"/>
      </w:pPr>
      <w:r>
        <w:t xml:space="preserve">Nous pouvons à partir d’ici utiliser R pour trouver les coefficients associés à chaque facteur extrait.</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180796.1      724.6 249.503  &lt; 2e-16 ***</w:t>
      </w:r>
      <w:r>
        <w:br w:type="textWrapping"/>
      </w:r>
      <w:r>
        <w:rPr>
          <w:rStyle w:val="VerbatimChar"/>
        </w:rPr>
        <w:t xml:space="preserve">Dim.1        27395.7      291.6  93.937  &lt; 2e-16 ***</w:t>
      </w:r>
      <w:r>
        <w:br w:type="textWrapping"/>
      </w:r>
      <w:r>
        <w:rPr>
          <w:rStyle w:val="VerbatimChar"/>
        </w:rPr>
        <w:t xml:space="preserve">Dim.2        -7046.0      415.7 -16.950  &lt; 2e-16 ***</w:t>
      </w:r>
      <w:r>
        <w:br w:type="textWrapping"/>
      </w:r>
      <w:r>
        <w:rPr>
          <w:rStyle w:val="VerbatimChar"/>
        </w:rPr>
        <w:t xml:space="preserve">Dim.3          478.6      497.6   0.962    0.336    </w:t>
      </w:r>
      <w:r>
        <w:br w:type="textWrapping"/>
      </w:r>
      <w:r>
        <w:rPr>
          <w:rStyle w:val="VerbatimChar"/>
        </w:rPr>
        <w:t xml:space="preserve">Dim.4         2778.9      513.2   5.414 6.65e-08 ***</w:t>
      </w:r>
      <w:r>
        <w:br w:type="textWrapping"/>
      </w:r>
      <w:r>
        <w:rPr>
          <w:rStyle w:val="VerbatimChar"/>
        </w:rPr>
        <w:t xml:space="preserve">Dim.5         5769.8      628.9   9.175  &lt; 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39220 on 2924 degrees of freedom</w:t>
      </w:r>
      <w:r>
        <w:br w:type="textWrapping"/>
      </w:r>
      <w:r>
        <w:rPr>
          <w:rStyle w:val="VerbatimChar"/>
        </w:rPr>
        <w:t xml:space="preserve">Multiple R-squared:  0.7593,    Adjusted R-squared:  0.7589 </w:t>
      </w:r>
      <w:r>
        <w:br w:type="textWrapping"/>
      </w:r>
      <w:r>
        <w:rPr>
          <w:rStyle w:val="VerbatimChar"/>
        </w:rPr>
        <w:t xml:space="preserve">F-statistic:  1845 on 5 and 2924 DF,  p-value: &lt; 2.2e-16</w:t>
      </w:r>
    </w:p>
    <w:p>
      <w:pPr>
        <w:pStyle w:val="FirstParagraph"/>
      </w:pPr>
      <w:r>
        <w:t xml:space="preserve">Les résultats globaux du modèle que nous trouvons sont les mêmes avec R. Les 5 composantes retenues expliquent bien 75,93% de la variance des prix de vente de la maison.</w:t>
      </w:r>
    </w:p>
    <w:p>
      <w:pPr>
        <w:pStyle w:val="Titre3"/>
      </w:pPr>
      <w:bookmarkStart w:id="47" w:name="régéressions-sur-les-moindres-carrés-partiels"/>
      <w:r>
        <w:t xml:space="preserve">Régéressions sur les moindres carrés partiels</w:t>
      </w:r>
      <w:bookmarkEnd w:id="47"/>
    </w:p>
    <w:p>
      <w:r>
        <w:br w:type="page"/>
      </w:r>
    </w:p>
    <w:p>
      <w:pPr>
        <w:pStyle w:val="Titre1"/>
      </w:pPr>
      <w:bookmarkStart w:id="48" w:name="comparaison-des-performances-des-différentes-méthodes-destimation"/>
      <w:r>
        <w:t xml:space="preserve">Comparaison des performances des différentes méthodes d’estimation</w:t>
      </w:r>
      <w:bookmarkEnd w:id="48"/>
    </w:p>
    <w:p>
      <w:pPr>
        <w:pStyle w:val="Titre1"/>
      </w:pPr>
      <w:bookmarkStart w:id="49" w:name="bibliographie"/>
      <w:r>
        <w:t xml:space="preserve">Bibliographie</w:t>
      </w:r>
      <w:bookmarkEnd w:id="49"/>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50">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51">
        <w:r>
          <w:rPr>
            <w:rStyle w:val="Lienhypertexte"/>
          </w:rPr>
          <w:t xml:space="preserve">http://mevik.net/work/software/pls.html</w:t>
        </w:r>
      </w:hyperlink>
      <w:r>
        <w:t xml:space="preserve">,</w:t>
      </w:r>
      <w:r>
        <w:t xml:space="preserve"> </w:t>
      </w:r>
      <w:hyperlink r:id="rId52">
        <w:r>
          <w:rPr>
            <w:rStyle w:val="Lienhypertexte"/>
          </w:rPr>
          <w:t xml:space="preserve">https://github.com/bhmevik/pls</w:t>
        </w:r>
      </w:hyperlink>
      <w:r>
        <w:t xml:space="preserve">.</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r>
        <w:t xml:space="preserve"> </w:t>
      </w:r>
      <w:r>
        <w:t xml:space="preserve">The PLS Procedure, SAS/STAT® 13.1 User’s Guide</w:t>
      </w:r>
      <w:r>
        <w:t xml:space="preserve"> </w:t>
      </w:r>
      <w:hyperlink r:id="rId53">
        <w:r>
          <w:rPr>
            <w:rStyle w:val="Lienhypertexte"/>
          </w:rPr>
          <w:t xml:space="preserve">https://support.sas.com/documentation/onlinedoc/stat/131/pls.pdf</w:t>
        </w:r>
      </w:hyperlink>
    </w:p>
    <w:p>
      <w:r>
        <w:br w:type="page"/>
      </w:r>
    </w:p>
    <w:p>
      <w:pPr>
        <w:pStyle w:val="Titre1"/>
      </w:pPr>
      <w:bookmarkStart w:id="54" w:name="annexes"/>
      <w:r>
        <w:t xml:space="preserve">Annexes</w:t>
      </w:r>
      <w:bookmarkEnd w:id="54"/>
    </w:p>
    <w:p>
      <w:pPr>
        <w:pStyle w:val="Titre2"/>
      </w:pPr>
      <w:bookmarkStart w:id="55" w:name="annexe-1-liste-exhaustive-des-colonnes"/>
      <w:r>
        <w:t xml:space="preserve">Annexe 1 : Liste exhaustive des colonnes</w:t>
      </w:r>
      <w:bookmarkEnd w:id="55"/>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pPr>
        <w:pStyle w:val="Corpsdetexte"/>
      </w:pPr>
      <w:r>
        <w:t xml:space="preserve">Description des colonnes :</w:t>
      </w:r>
    </w:p>
    <w:p>
      <w:pPr>
        <w:pStyle w:val="Corpsdetexte"/>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p>
      <w:pPr>
        <w:pStyle w:val="Corpsdetexte"/>
      </w:pPr>
      <w:r>
        <w:t xml:space="preserve">Présenter le sujet :</w:t>
      </w:r>
      <w:r>
        <w:t xml:space="preserve"> </w:t>
      </w:r>
      <w:r>
        <w:t xml:space="preserve">- Statistiques descriptives univariées (variable par variable)</w:t>
      </w:r>
      <w:r>
        <w:t xml:space="preserve"> </w:t>
      </w:r>
      <w:r>
        <w:t xml:space="preserve">- Répondre à une question ou une série de questions</w:t>
      </w:r>
      <w:r>
        <w:t xml:space="preserve"> </w:t>
      </w:r>
      <w:r>
        <w:t xml:space="preserve">- Présenter les statistiques bivariées : corrélation , test du khi-deux</w:t>
      </w:r>
      <w:r>
        <w:t xml:space="preserve"> </w:t>
      </w:r>
      <w:r>
        <w:t xml:space="preserve">- ACP au préalable</w:t>
      </w:r>
      <w:r>
        <w:t xml:space="preserve"> </w:t>
      </w:r>
      <w:r>
        <w:t xml:space="preserve">Comparer les résultats des différentes méthodes :</w:t>
      </w:r>
      <w:r>
        <w:t xml:space="preserve"> </w:t>
      </w:r>
      <w:r>
        <w:t xml:space="preserve">- dire pourquoi utiliser chacune des méthode : pourquoi une OLS, pourquoi une PCR, PLS.</w:t>
      </w:r>
      <w:r>
        <w:t xml:space="preserve"> </w:t>
      </w:r>
      <w:r>
        <w:t xml:space="preserve">- Dire quel résultat auquel on s’attend</w:t>
      </w:r>
    </w:p>
    <w:p>
      <w:pPr>
        <w:pStyle w:val="Corpsdetexte"/>
      </w:pPr>
      <w:r>
        <w:t xml:space="preserve">Présenter uniquement les tableaux de résultats principaux et les graphique. Mettre ce qui est moins pertinent en annexes. Commenter les résultats</w:t>
      </w:r>
    </w:p>
    <w:p>
      <w:pPr>
        <w:pStyle w:val="Corpsdetexte"/>
      </w:pPr>
      <w:r>
        <w:t xml:space="preserve">Conclure : analyser les résultats et les comparer à ce qu’on avait dit au début</w:t>
      </w:r>
      <w:r>
        <w:t xml:space="preserve"> </w:t>
      </w:r>
      <w:r>
        <w:t xml:space="preserve">Quels résultats ces méthodes apportent?</w:t>
      </w:r>
      <w:r>
        <w:t xml:space="preserve"> </w:t>
      </w:r>
      <w:r>
        <w:t xml:space="preserv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51" Target="http://mevik.net/work/software/pls.html" TargetMode="External" /><Relationship Type="http://schemas.openxmlformats.org/officeDocument/2006/relationships/hyperlink" Id="rId50" Target="http://www.sthda.com/english/rpkgs/factoextra" TargetMode="External" /><Relationship Type="http://schemas.openxmlformats.org/officeDocument/2006/relationships/hyperlink" Id="rId52" Target="https://github.com/bhmevik/pls" TargetMode="External" /><Relationship Type="http://schemas.openxmlformats.org/officeDocument/2006/relationships/hyperlink" Id="rId53"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51" Target="http://mevik.net/work/software/pls.html" TargetMode="External" /><Relationship Type="http://schemas.openxmlformats.org/officeDocument/2006/relationships/hyperlink" Id="rId50" Target="http://www.sthda.com/english/rpkgs/factoextra" TargetMode="External" /><Relationship Type="http://schemas.openxmlformats.org/officeDocument/2006/relationships/hyperlink" Id="rId52" Target="https://github.com/bhmevik/pls" TargetMode="External" /><Relationship Type="http://schemas.openxmlformats.org/officeDocument/2006/relationships/hyperlink" Id="rId53"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2020-03-02T13:14:40Z</dcterms:created>
  <dcterms:modified xsi:type="dcterms:W3CDTF">2020-03-02T13:14:40Z</dcterms:modified>
</cp:coreProperties>
</file>