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A3B00"/>
          <w:sz w:val="24"/>
        </w:rPr>
        <w:t>ESQUELETO DEL ARTÍCULO — documento de trabajo</w:t>
      </w:r>
    </w:p>
    <w:p>
      <w:pPr>
        <w:jc w:val="center"/>
        <w:shd w:val="clear" w:fill="FFF4E5"/>
      </w:pPr>
      <w:r>
        <w:rPr>
          <w:i/>
          <w:sz w:val="18"/>
        </w:rPr>
        <w:t>Los bloques sombreados en naranja son orientación y DEBEN ELIMINARSE al redactar. Los recuadros grises marcan dónde van tablas y figuras. Todo el texto del artículo lo redacta el equipo.</w:t>
      </w:r>
    </w:p>
    <w:p/>
    <w:p>
      <w:pPr>
        <w:jc w:val="center"/>
      </w:pPr>
      <w:r>
        <w:rPr>
          <w:b/>
          <w:sz w:val="32"/>
        </w:rPr>
        <w:t>Detección de casco y chaleco de seguridad en obras de construcción mediante YOLO26</w:t>
      </w:r>
    </w:p>
    <w:p>
      <w:pPr>
        <w:jc w:val="center"/>
      </w:pPr>
      <w:r>
        <w:rPr>
          <w:sz w:val="22"/>
        </w:rPr>
        <w:t>[Nombres y apellidos de los integrantes]</w:t>
      </w:r>
    </w:p>
    <w:p>
      <w:pPr>
        <w:jc w:val="center"/>
      </w:pPr>
      <w:r>
        <w:rPr>
          <w:i/>
          <w:sz w:val="20"/>
        </w:rPr>
        <w:t>Maestría en Inteligencia Artificial · Universidad Nacional Mayor de San Marcos</w:t>
      </w:r>
    </w:p>
    <w:p>
      <w:pPr>
        <w:jc w:val="center"/>
      </w:pPr>
      <w:r>
        <w:rPr>
          <w:sz w:val="20"/>
        </w:rPr>
        <w:t>[correo de contacto]</w:t>
      </w:r>
    </w:p>
    <w:p/>
    <w:p>
      <w:pPr>
        <w:pStyle w:val="Heading1"/>
      </w:pPr>
      <w:r>
        <w:t>Resumen</w:t>
      </w:r>
    </w:p>
    <w:p>
      <w:pPr>
        <w:spacing w:before="80"/>
        <w:ind w:left="170"/>
        <w:shd w:val="clear" w:fill="FFF4E5"/>
      </w:pPr>
      <w:r>
        <w:rPr>
          <w:b/>
          <w:i/>
          <w:color w:val="8A3B00"/>
          <w:sz w:val="18"/>
        </w:rPr>
        <w:t xml:space="preserve">GUÍA — </w:t>
      </w:r>
      <w:r>
        <w:rPr>
          <w:i/>
          <w:color w:val="5A4A3A"/>
          <w:sz w:val="18"/>
        </w:rPr>
        <w:t>Un párrafo. Se escribe AL FINAL, cuando ya se conocen los resultados. Debe condensar, en este orden: el problema · los datos · el método · el resultado principal CON SU CIFRA · la conclusión.</w:t>
      </w:r>
    </w:p>
    <w:p>
      <w:pPr>
        <w:ind w:left="170"/>
        <w:shd w:val="clear" w:fill="FFF4E5"/>
      </w:pPr>
      <w:r>
        <w:rPr>
          <w:i/>
          <w:color w:val="7A6A5A"/>
          <w:sz w:val="16"/>
        </w:rPr>
        <w:t>Extensión orientativa: 150-200 palabras.</w:t>
      </w: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r>
        <w:rPr>
          <w:b/>
        </w:rPr>
        <w:t xml:space="preserve">Palabras clave: </w:t>
      </w:r>
      <w:r>
        <w:t>[de tres a cinco, separadas por punto y coma]</w:t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spacing w:before="80"/>
        <w:ind w:left="170"/>
        <w:shd w:val="clear" w:fill="FFF4E5"/>
      </w:pPr>
      <w:r>
        <w:rPr>
          <w:b/>
          <w:i/>
          <w:color w:val="8A3B00"/>
          <w:sz w:val="18"/>
        </w:rPr>
        <w:t xml:space="preserve">GUÍA — </w:t>
      </w:r>
      <w:r>
        <w:rPr>
          <w:i/>
          <w:color w:val="5A4A3A"/>
          <w:sz w:val="18"/>
        </w:rPr>
        <w:t>Tres movimientos encadenados: (a) plantear el problema de visión y su relevancia para la seguridad en obra; (b) revisar brevemente qué se ha hecho antes, con las referencias INTEGRADAS en la redacción, no listadas; (c) cerrar con el objetivo del trabajo y el aporte que ofrece.</w:t>
      </w:r>
    </w:p>
    <w:p>
      <w:pPr>
        <w:ind w:left="170"/>
        <w:shd w:val="clear" w:fill="FFF4E5"/>
      </w:pPr>
      <w:r>
        <w:rPr>
          <w:i/>
          <w:color w:val="7A6A5A"/>
          <w:sz w:val="16"/>
        </w:rPr>
        <w:t>Extensión orientativa: 1,3 páginas.  Rúbrica: Problema y justificación (5 pts en el parcial).</w:t>
      </w:r>
    </w:p>
    <w:p>
      <w:pPr>
        <w:spacing w:before="80"/>
        <w:ind w:left="170"/>
        <w:shd w:val="clear" w:fill="FFF4E5"/>
      </w:pPr>
      <w:r>
        <w:rPr>
          <w:b/>
          <w:i/>
          <w:color w:val="8A3B00"/>
          <w:sz w:val="18"/>
        </w:rPr>
        <w:t xml:space="preserve">GUÍA — </w:t>
      </w:r>
      <w:r>
        <w:rPr>
          <w:i/>
          <w:color w:val="5A4A3A"/>
          <w:sz w:val="18"/>
        </w:rPr>
        <w:t>Aporte fijado el 2026-10-09 tras el experimento (decisión D16): YOLO26 supera a dos generaciones previas en detección de casco y chaleco con un 19 % menos de parámetros, bajo protocolo idéntico, sobre un corpus unificado de tres fuentes heterogéneas. NO prometer modo NMS-free ni generalización entre datasets: no se midieron. Van en trabajo futuro.</w:t>
      </w: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pStyle w:val="Heading1"/>
      </w:pPr>
      <w:r>
        <w:t>2. Métodos</w:t>
      </w:r>
    </w:p>
    <w:p>
      <w:pPr>
        <w:spacing w:before="80"/>
        <w:ind w:left="170"/>
        <w:shd w:val="clear" w:fill="FFF4E5"/>
      </w:pPr>
      <w:r>
        <w:rPr>
          <w:b/>
          <w:i/>
          <w:color w:val="8A3B00"/>
          <w:sz w:val="18"/>
        </w:rPr>
        <w:t xml:space="preserve">GUÍA — </w:t>
      </w:r>
      <w:r>
        <w:rPr>
          <w:i/>
          <w:color w:val="5A4A3A"/>
          <w:sz w:val="18"/>
        </w:rPr>
        <w:t>Es la sección que sostiene la reproducibilidad: otra persona debe poder repetir el trabajo leyéndola. La guía del curso exige cinco bloques — dataset, preprocesamiento, modelo, línea base y métrica — a los que se añade el protocolo de la revisión sistemática.</w:t>
      </w:r>
    </w:p>
    <w:p>
      <w:pPr>
        <w:ind w:left="170"/>
        <w:shd w:val="clear" w:fill="FFF4E5"/>
      </w:pPr>
      <w:r>
        <w:rPr>
          <w:i/>
          <w:color w:val="7A6A5A"/>
          <w:sz w:val="16"/>
        </w:rPr>
        <w:t>Extensión orientativa: 2,2 páginas en total.  Rúbrica: Rigor técnico (4 pts) + Reproducibilidad y código (3 pts).</w:t>
      </w:r>
    </w:p>
    <w:p>
      <w:pPr>
        <w:pStyle w:val="Heading2"/>
      </w:pPr>
      <w:r>
        <w:t>2.1 Protocolo de revisión sistemática (PRISMA 2020)</w:t>
      </w:r>
    </w:p>
    <w:p>
      <w:pPr>
        <w:spacing w:before="80"/>
        <w:ind w:left="170"/>
        <w:shd w:val="clear" w:fill="FFF4E5"/>
      </w:pPr>
      <w:r>
        <w:rPr>
          <w:b/>
          <w:i/>
          <w:color w:val="8A3B00"/>
          <w:sz w:val="18"/>
        </w:rPr>
        <w:t xml:space="preserve">GUÍA — </w:t>
      </w:r>
      <w:r>
        <w:rPr>
          <w:i/>
          <w:color w:val="5A4A3A"/>
          <w:sz w:val="18"/>
        </w:rPr>
        <w:t>Declarar: bases consultadas y plataforma · fecha exacta de ejecución · cadena de búsqueda literal · criterios de inclusión (I1-I7) y exclusión (E1-E6) · proceso de cribado indicando número de revisores independientes y cómo se resolvieron las discrepancias. Reportar siguiendo PRISMA-S. Si no se tuvo acceso a alguna base, DECLARARLO como limitación.</w:t>
      </w: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jc w:val="center"/>
        <w:shd w:val="clear" w:fill="F2F2F2"/>
      </w:pPr>
      <w:r>
        <w:rPr>
          <w:b/>
          <w:color w:val="888888"/>
          <w:sz w:val="18"/>
        </w:rPr>
        <w:t>[ Figura 1 — Diagrama de flujo PRISMA 2020 — usar la plantilla new_SRs_v2 ]</w:t>
      </w:r>
    </w:p>
    <w:p>
      <w:pPr>
        <w:jc w:val="center"/>
      </w:pPr>
      <w:r>
        <w:rPr>
          <w:i/>
          <w:sz w:val="18"/>
        </w:rPr>
        <w:t>Figura 1. [pie: describir qué muestra]</w:t>
      </w:r>
    </w:p>
    <w:p/>
    <w:p>
      <w:pPr>
        <w:pStyle w:val="Heading2"/>
      </w:pPr>
      <w:r>
        <w:t>2.2 Conjuntos de datos</w:t>
      </w:r>
    </w:p>
    <w:p>
      <w:pPr>
        <w:spacing w:before="80"/>
        <w:ind w:left="170"/>
        <w:shd w:val="clear" w:fill="FFF4E5"/>
      </w:pPr>
      <w:r>
        <w:rPr>
          <w:b/>
          <w:i/>
          <w:color w:val="8A3B00"/>
          <w:sz w:val="18"/>
        </w:rPr>
        <w:t xml:space="preserve">GUÍA — </w:t>
      </w:r>
      <w:r>
        <w:rPr>
          <w:i/>
          <w:color w:val="5A4A3A"/>
          <w:sz w:val="18"/>
        </w:rPr>
        <w:t>Por cada dataset: origen, número de imágenes, clases y cómo se dividió en entrenamiento, validación y prueba. Condensar los tres en una sola tabla; el análisis detallado queda como respaldo para la defensa. Mencionar también el dataset evaluado y descartado, con su motivo medido.</w:t>
      </w: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jc w:val="center"/>
        <w:shd w:val="clear" w:fill="F2F2F2"/>
      </w:pPr>
      <w:r>
        <w:rPr>
          <w:b/>
          <w:color w:val="888888"/>
          <w:sz w:val="18"/>
        </w:rPr>
        <w:t>[ Tabla 1 — Comparativa de los conjuntos de datos empleados ]</w:t>
      </w:r>
    </w:p>
    <w:p>
      <w:pPr>
        <w:jc w:val="center"/>
      </w:pPr>
      <w:r>
        <w:rPr>
          <w:i/>
          <w:sz w:val="18"/>
        </w:rPr>
        <w:t>Tabla 1. [pie: describir qué muestra]</w:t>
      </w:r>
    </w:p>
    <w:p/>
    <w:p>
      <w:pPr>
        <w:pStyle w:val="Heading2"/>
      </w:pPr>
      <w:r>
        <w:t>2.3 Preprocesamiento</w:t>
      </w:r>
    </w:p>
    <w:p>
      <w:pPr>
        <w:spacing w:before="80"/>
        <w:ind w:left="170"/>
        <w:shd w:val="clear" w:fill="FFF4E5"/>
      </w:pPr>
      <w:r>
        <w:rPr>
          <w:b/>
          <w:i/>
          <w:color w:val="8A3B00"/>
          <w:sz w:val="18"/>
        </w:rPr>
        <w:t xml:space="preserve">GUÍA — </w:t>
      </w:r>
      <w:r>
        <w:rPr>
          <w:i/>
          <w:color w:val="5A4A3A"/>
          <w:sz w:val="18"/>
        </w:rPr>
        <w:t>Redimensionado, normalización y aumento de datos, si se aplicó. Documentar también el remapeo y filtrado de clases, porque afecta directamente a la reproducibilidad y debe poder repetirse con un script.</w:t>
      </w: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pStyle w:val="Heading2"/>
      </w:pPr>
      <w:r>
        <w:t>2.4 Modelo</w:t>
      </w:r>
    </w:p>
    <w:p>
      <w:pPr>
        <w:spacing w:before="80"/>
        <w:ind w:left="170"/>
        <w:shd w:val="clear" w:fill="FFF4E5"/>
      </w:pPr>
      <w:r>
        <w:rPr>
          <w:b/>
          <w:i/>
          <w:color w:val="8A3B00"/>
          <w:sz w:val="18"/>
        </w:rPr>
        <w:t xml:space="preserve">GUÍA — </w:t>
      </w:r>
      <w:r>
        <w:rPr>
          <w:i/>
          <w:color w:val="5A4A3A"/>
          <w:sz w:val="18"/>
        </w:rPr>
        <w:t>Arquitectura empleada, si se entrenó desde cero o con transfer learning, y los hiperparámetros principales: escala del modelo, tamaño de entrada, optimizador, tasa de aprendizaje, épocas, tamaño de lote y hardware.</w:t>
      </w: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pStyle w:val="Heading2"/>
      </w:pPr>
      <w:r>
        <w:t>2.5 Línea base</w:t>
      </w:r>
    </w:p>
    <w:p>
      <w:pPr>
        <w:spacing w:before="80"/>
        <w:ind w:left="170"/>
        <w:shd w:val="clear" w:fill="FFF4E5"/>
      </w:pPr>
      <w:r>
        <w:rPr>
          <w:b/>
          <w:i/>
          <w:color w:val="8A3B00"/>
          <w:sz w:val="18"/>
        </w:rPr>
        <w:t xml:space="preserve">GUÍA — </w:t>
      </w:r>
      <w:r>
        <w:rPr>
          <w:i/>
          <w:color w:val="5A4A3A"/>
          <w:sz w:val="18"/>
        </w:rPr>
        <w:t>La guía pide literalmente «el método SIMPLE contra el cual se compara el modelo». Comparar dos modelos del estado del arte no satisface esa lectura. Lo seguro es declarar DOS referencias: una línea base genuinamente simple y, además, el comparador directo de generación anterior. Así se cubren ambas interpretaciones.</w:t>
      </w: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pStyle w:val="Heading2"/>
      </w:pPr>
      <w:r>
        <w:t>2.6 Métricas de evaluación</w:t>
      </w:r>
    </w:p>
    <w:p>
      <w:pPr>
        <w:spacing w:before="80"/>
        <w:ind w:left="170"/>
        <w:shd w:val="clear" w:fill="FFF4E5"/>
      </w:pPr>
      <w:r>
        <w:rPr>
          <w:b/>
          <w:i/>
          <w:color w:val="8A3B00"/>
          <w:sz w:val="18"/>
        </w:rPr>
        <w:t xml:space="preserve">GUÍA — </w:t>
      </w:r>
      <w:r>
        <w:rPr>
          <w:i/>
          <w:color w:val="5A4A3A"/>
          <w:sz w:val="18"/>
        </w:rPr>
        <w:t>Indicar la medida empleada Y POR QUÉ se eligió — la justificación es parte explícita del criterio. Considerar reportar métricas desagregadas por tamaño de objeto y argumentar el peso del recall, dado que en seguridad el coste de un falso negativo no es simétrico.</w:t>
      </w: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r>
        <w:br w:type="page"/>
      </w:r>
    </w:p>
    <w:p>
      <w:pPr>
        <w:pStyle w:val="Heading1"/>
      </w:pPr>
      <w:r>
        <w:t>3. Resultados</w:t>
      </w:r>
    </w:p>
    <w:p>
      <w:pPr>
        <w:spacing w:before="80"/>
        <w:ind w:left="170"/>
        <w:shd w:val="clear" w:fill="FFF4E5"/>
      </w:pPr>
      <w:r>
        <w:rPr>
          <w:b/>
          <w:i/>
          <w:color w:val="8A3B00"/>
          <w:sz w:val="18"/>
        </w:rPr>
        <w:t xml:space="preserve">GUÍA — </w:t>
      </w:r>
      <w:r>
        <w:rPr>
          <w:i/>
          <w:color w:val="5A4A3A"/>
          <w:sz w:val="18"/>
        </w:rPr>
        <w:t>Mostrar qué se obtuvo, SIN interpretarlo todavía: los números se reportan tal como salieron. El texto guía la lectura de cada tabla y figura, sin repetir todos los valores.</w:t>
      </w:r>
    </w:p>
    <w:p>
      <w:pPr>
        <w:ind w:left="170"/>
        <w:shd w:val="clear" w:fill="FFF4E5"/>
      </w:pPr>
      <w:r>
        <w:rPr>
          <w:i/>
          <w:color w:val="7A6A5A"/>
          <w:sz w:val="16"/>
        </w:rPr>
        <w:t>Extensión orientativa: 1,8 páginas.</w:t>
      </w: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jc w:val="center"/>
        <w:shd w:val="clear" w:fill="F2F2F2"/>
      </w:pPr>
      <w:r>
        <w:rPr>
          <w:b/>
          <w:color w:val="888888"/>
          <w:sz w:val="18"/>
        </w:rPr>
        <w:t>[ Tabla 2 — Desempeño del modelo y de la línea base, en la misma métrica ]</w:t>
      </w:r>
    </w:p>
    <w:p>
      <w:pPr>
        <w:jc w:val="center"/>
      </w:pPr>
      <w:r>
        <w:rPr>
          <w:i/>
          <w:sz w:val="18"/>
        </w:rPr>
        <w:t>Tabla 2. [pie: describir qué muestra]</w:t>
      </w:r>
    </w:p>
    <w:p/>
    <w:p>
      <w:pPr>
        <w:spacing w:after="200"/>
      </w:pPr>
    </w:p>
    <w:p>
      <w:pPr>
        <w:spacing w:after="200"/>
      </w:pPr>
    </w:p>
    <w:p>
      <w:pPr>
        <w:jc w:val="center"/>
        <w:shd w:val="clear" w:fill="F2F2F2"/>
      </w:pPr>
      <w:r>
        <w:rPr>
          <w:b/>
          <w:color w:val="888888"/>
          <w:sz w:val="18"/>
        </w:rPr>
        <w:t>[ Tabla 3 — Desempeño desagregado por clase ]</w:t>
      </w:r>
    </w:p>
    <w:p>
      <w:pPr>
        <w:jc w:val="center"/>
      </w:pPr>
      <w:r>
        <w:rPr>
          <w:i/>
          <w:sz w:val="18"/>
        </w:rPr>
        <w:t>Tabla 3. [pie: describir qué muestra]</w:t>
      </w:r>
    </w:p>
    <w:p/>
    <w:p>
      <w:pPr>
        <w:spacing w:after="200"/>
      </w:pPr>
    </w:p>
    <w:p>
      <w:pPr>
        <w:spacing w:after="200"/>
      </w:pPr>
    </w:p>
    <w:p>
      <w:pPr>
        <w:jc w:val="center"/>
        <w:shd w:val="clear" w:fill="F2F2F2"/>
      </w:pPr>
      <w:r>
        <w:rPr>
          <w:b/>
          <w:color w:val="888888"/>
          <w:sz w:val="18"/>
        </w:rPr>
        <w:t>[ Figura 2 — Matriz de confusión ]</w:t>
      </w:r>
    </w:p>
    <w:p>
      <w:pPr>
        <w:jc w:val="center"/>
      </w:pPr>
      <w:r>
        <w:rPr>
          <w:i/>
          <w:sz w:val="18"/>
        </w:rPr>
        <w:t>Figura 2. [pie: describir qué muestra]</w:t>
      </w:r>
    </w:p>
    <w:p/>
    <w:p>
      <w:pPr>
        <w:jc w:val="center"/>
        <w:shd w:val="clear" w:fill="F2F2F2"/>
      </w:pPr>
      <w:r>
        <w:rPr>
          <w:b/>
          <w:color w:val="888888"/>
          <w:sz w:val="18"/>
        </w:rPr>
        <w:t>[ Figura 3 — Curvas de entrenamiento ]</w:t>
      </w:r>
    </w:p>
    <w:p>
      <w:pPr>
        <w:jc w:val="center"/>
      </w:pPr>
      <w:r>
        <w:rPr>
          <w:i/>
          <w:sz w:val="18"/>
        </w:rPr>
        <w:t>Figura 3. [pie: describir qué muestra]</w:t>
      </w:r>
    </w:p>
    <w:p/>
    <w:p>
      <w:pPr>
        <w:jc w:val="center"/>
        <w:shd w:val="clear" w:fill="F2F2F2"/>
      </w:pPr>
      <w:r>
        <w:rPr>
          <w:b/>
          <w:color w:val="888888"/>
          <w:sz w:val="18"/>
        </w:rPr>
        <w:t>[ Figura 4 — Ejemplos de predicción — incluir aciertos y fallos ]</w:t>
      </w:r>
    </w:p>
    <w:p>
      <w:pPr>
        <w:jc w:val="center"/>
      </w:pPr>
      <w:r>
        <w:rPr>
          <w:i/>
          <w:sz w:val="18"/>
        </w:rPr>
        <w:t>Figura 4. [pie: describir qué muestra]</w:t>
      </w:r>
    </w:p>
    <w:p/>
    <w:p>
      <w:pPr>
        <w:pStyle w:val="Heading1"/>
      </w:pPr>
      <w:r>
        <w:t>4. Discusión</w:t>
      </w:r>
    </w:p>
    <w:p>
      <w:pPr>
        <w:spacing w:before="80"/>
        <w:ind w:left="170"/>
        <w:shd w:val="clear" w:fill="FFF4E5"/>
      </w:pPr>
      <w:r>
        <w:rPr>
          <w:b/>
          <w:i/>
          <w:color w:val="8A3B00"/>
          <w:sz w:val="18"/>
        </w:rPr>
        <w:t xml:space="preserve">GUÍA — </w:t>
      </w:r>
      <w:r>
        <w:rPr>
          <w:i/>
          <w:color w:val="5A4A3A"/>
          <w:sz w:val="18"/>
        </w:rPr>
        <w:t>Cuatro movimientos: (a) comparar el resultado con la línea base y EXPLICAR la diferencia; (b) analizar los errores — en qué casos falla el modelo y por qué; (c) reconocer las limitaciones en lugar de ocultarlas; (d) cerrar con una conclusión anclada en los datos y, si corresponde, una línea de trabajo futuro.</w:t>
      </w:r>
    </w:p>
    <w:p>
      <w:pPr>
        <w:ind w:left="170"/>
        <w:shd w:val="clear" w:fill="FFF4E5"/>
      </w:pPr>
      <w:r>
        <w:rPr>
          <w:i/>
          <w:color w:val="7A6A5A"/>
          <w:sz w:val="16"/>
        </w:rPr>
        <w:t>Extensión orientativa: 1,2 páginas.  Rúbrica: Discusión y análisis (2,6 pts).</w:t>
      </w:r>
    </w:p>
    <w:p>
      <w:pPr>
        <w:spacing w:before="80"/>
        <w:ind w:left="170"/>
        <w:shd w:val="clear" w:fill="FFF4E5"/>
      </w:pPr>
      <w:r>
        <w:rPr>
          <w:b/>
          <w:i/>
          <w:color w:val="8A3B00"/>
          <w:sz w:val="18"/>
        </w:rPr>
        <w:t xml:space="preserve">GUÍA — </w:t>
      </w:r>
      <w:r>
        <w:rPr>
          <w:i/>
          <w:color w:val="5A4A3A"/>
          <w:sz w:val="18"/>
        </w:rPr>
        <w:t>Material disponible para el análisis de errores: oclusión entre trabajadores, régimen de objeto pequeño en el casco, el desbalance medido de 4,84:1 entre casco y chaleco, y el compromiso precisión-exhaustividad (YOLO26n tiene la precisión más baja, 0,7505, y el recall más alto, 0,8526). Trabajo futuro: evaluación del modo NMS-free y generalización entre datasets manteniendo CHV como test externo. Para limitaciones: heterogeneidad de las fuentes, deformación por redimensionado, ausencia de clase negativa para el chaleco y datasets sin revisión por pares.</w:t>
      </w: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pStyle w:val="Heading1"/>
      </w:pPr>
      <w:r>
        <w:t>Declaración sobre el uso de herramientas de inteligencia artificial</w:t>
      </w:r>
    </w:p>
    <w:p>
      <w:pPr>
        <w:spacing w:before="80"/>
        <w:ind w:left="170"/>
        <w:shd w:val="clear" w:fill="FFF4E5"/>
      </w:pPr>
      <w:r>
        <w:rPr>
          <w:b/>
          <w:i/>
          <w:color w:val="8A3B00"/>
          <w:sz w:val="18"/>
        </w:rPr>
        <w:t xml:space="preserve">GUÍA — </w:t>
      </w:r>
      <w:r>
        <w:rPr>
          <w:i/>
          <w:color w:val="5A4A3A"/>
          <w:sz w:val="18"/>
        </w:rPr>
        <w:t>Obligatorio por la rúbrica del curso: «todo apoyo de herramientas de IA en la redacción o el código se declara de forma transparente». Abarca también el apoyo técnico — análisis de datos, cribado preliminar, scripts — no solo la redacción. Mejor declarar de más que de menos.</w:t>
      </w: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pStyle w:val="Heading1"/>
      </w:pPr>
      <w:r>
        <w:t>Referencias</w:t>
      </w:r>
    </w:p>
    <w:p>
      <w:pPr>
        <w:spacing w:before="80"/>
        <w:ind w:left="170"/>
        <w:shd w:val="clear" w:fill="FFF4E5"/>
      </w:pPr>
      <w:r>
        <w:rPr>
          <w:b/>
          <w:i/>
          <w:color w:val="8A3B00"/>
          <w:sz w:val="18"/>
        </w:rPr>
        <w:t xml:space="preserve">GUÍA — </w:t>
      </w:r>
      <w:r>
        <w:rPr>
          <w:i/>
          <w:color w:val="5A4A3A"/>
          <w:sz w:val="18"/>
        </w:rPr>
        <w:t>Formato IEEE, consistente. Mínimo 25 referencias de revistas indexadas en Scopus y/o WoS. Todo lo que se cita en el texto aparece aquí, y nada que no se haya citado.</w:t>
      </w:r>
    </w:p>
    <w:p>
      <w:pPr>
        <w:spacing w:after="200"/>
      </w:pPr>
    </w:p>
    <w:p>
      <w:pPr>
        <w:spacing w:after="200"/>
      </w:pPr>
    </w:p>
    <w:p>
      <w:pPr>
        <w:ind w:left="454" w:hanging="454"/>
      </w:pPr>
      <w:r>
        <w:rPr>
          <w:sz w:val="20"/>
        </w:rPr>
        <w:t xml:space="preserve">[1]  </w:t>
      </w:r>
      <w:r>
        <w:rPr>
          <w:color w:val="999999"/>
          <w:sz w:val="20"/>
        </w:rPr>
        <w:t>[Autor, A. A., Título del artículo, Nombre de la Revista, vol. X, n.º Y, pp. ZZ-ZZ, Año.]</w:t>
      </w:r>
    </w:p>
    <w:p>
      <w:pPr>
        <w:ind w:left="454" w:hanging="454"/>
      </w:pPr>
      <w:r>
        <w:rPr>
          <w:sz w:val="20"/>
        </w:rPr>
        <w:t xml:space="preserve">[2]  </w:t>
      </w:r>
      <w:r>
        <w:rPr>
          <w:color w:val="999999"/>
          <w:sz w:val="20"/>
        </w:rPr>
        <w:t>[Autor, A. A., Título del artículo, Nombre de la Revista, vol. X, n.º Y, pp. ZZ-ZZ, Año.]</w:t>
      </w:r>
    </w:p>
    <w:p>
      <w:pPr>
        <w:ind w:left="454" w:hanging="454"/>
      </w:pPr>
      <w:r>
        <w:rPr>
          <w:sz w:val="20"/>
        </w:rPr>
        <w:t xml:space="preserve">[3]  </w:t>
      </w:r>
      <w:r>
        <w:rPr>
          <w:color w:val="999999"/>
          <w:sz w:val="20"/>
        </w:rPr>
        <w:t>[Autor, A. A., Título del artículo, Nombre de la Revista, vol. X, n.º Y, pp. ZZ-ZZ, Año.]</w:t>
      </w:r>
    </w:p>
    <w:p>
      <w:pPr>
        <w:ind w:left="454" w:hanging="454"/>
      </w:pPr>
      <w:r>
        <w:rPr>
          <w:sz w:val="20"/>
        </w:rPr>
        <w:t xml:space="preserve">[4]  </w:t>
      </w:r>
      <w:r>
        <w:rPr>
          <w:color w:val="999999"/>
          <w:sz w:val="20"/>
        </w:rPr>
        <w:t>[Autor, A. A., Título del artículo, Nombre de la Revista, vol. X, n.º Y, pp. ZZ-ZZ, Año.]</w:t>
      </w:r>
    </w:p>
    <w:p>
      <w:pPr>
        <w:ind w:left="454" w:hanging="454"/>
      </w:pPr>
      <w:r>
        <w:rPr>
          <w:sz w:val="20"/>
        </w:rPr>
        <w:t xml:space="preserve">[5]  </w:t>
      </w:r>
      <w:r>
        <w:rPr>
          <w:color w:val="999999"/>
          <w:sz w:val="20"/>
        </w:rPr>
        <w:t>[Autor, A. A., Título del artículo, Nombre de la Revista, vol. X, n.º Y, pp. ZZ-ZZ, Año.]</w:t>
      </w:r>
    </w:p>
    <w:p>
      <w:r>
        <w:rPr>
          <w:i/>
          <w:color w:val="999999"/>
          <w:sz w:val="18"/>
        </w:rPr>
        <w:t>[… continuar hasta completar el mínimo de 25]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