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300"/>
        <w:gridCol w:w="1200"/>
        <w:gridCol w:w="1200"/>
        <w:gridCol w:w="1600"/>
        <w:gridCol w:w="1886"/>
        <w:gridCol w:w="1886"/>
      </w:tblGrid>
      <w:tr>
        <w:tc>
          <w:tcPr>
            <w:tcW w:type="dxa" w:w="13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12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Casco</w:t>
            </w:r>
          </w:p>
        </w:tc>
        <w:tc>
          <w:tcPr>
            <w:tcW w:type="dxa" w:w="12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Chaleco</w:t>
            </w:r>
          </w:p>
        </w:tc>
        <w:tc>
          <w:tcPr>
            <w:tcW w:type="dxa" w:w="16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Brecha (casco − chaleco)</w:t>
            </w:r>
          </w:p>
        </w:tc>
        <w:tc>
          <w:tcPr>
            <w:tcW w:type="dxa" w:w="1886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Δ casco</w:t>
            </w:r>
          </w:p>
        </w:tc>
        <w:tc>
          <w:tcPr>
            <w:tcW w:type="dxa" w:w="1886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Δ chaleco</w:t>
            </w:r>
          </w:p>
        </w:tc>
      </w:tr>
      <w:tr>
        <w:tc>
          <w:tcPr>
            <w:tcW w:type="dxa" w:w="13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YOLOv8n</w:t>
            </w:r>
          </w:p>
        </w:tc>
        <w:tc>
          <w:tcPr>
            <w:tcW w:type="dxa" w:w="12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0,9170</w:t>
            </w:r>
          </w:p>
        </w:tc>
        <w:tc>
          <w:tcPr>
            <w:tcW w:type="dxa" w:w="12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0,7661</w:t>
            </w:r>
          </w:p>
        </w:tc>
        <w:tc>
          <w:tcPr>
            <w:tcW w:type="dxa" w:w="1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0,1509</w:t>
            </w:r>
          </w:p>
        </w:tc>
        <w:tc>
          <w:tcPr>
            <w:tcW w:type="dxa" w:w="188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8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YOLO11n</w:t>
            </w:r>
          </w:p>
        </w:tc>
        <w:tc>
          <w:tcPr>
            <w:tcW w:type="dxa" w:w="12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0,9181</w:t>
            </w:r>
          </w:p>
        </w:tc>
        <w:tc>
          <w:tcPr>
            <w:tcW w:type="dxa" w:w="12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0,7765</w:t>
            </w:r>
          </w:p>
        </w:tc>
        <w:tc>
          <w:tcPr>
            <w:tcW w:type="dxa" w:w="1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0,1416</w:t>
            </w:r>
          </w:p>
        </w:tc>
        <w:tc>
          <w:tcPr>
            <w:tcW w:type="dxa" w:w="188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+0,0011</w:t>
            </w:r>
          </w:p>
        </w:tc>
        <w:tc>
          <w:tcPr>
            <w:tcW w:type="dxa" w:w="188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+0,0104</w:t>
            </w:r>
          </w:p>
        </w:tc>
      </w:tr>
      <w:tr>
        <w:tc>
          <w:tcPr>
            <w:tcW w:type="dxa" w:w="13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YOLO26n</w:t>
            </w:r>
          </w:p>
        </w:tc>
        <w:tc>
          <w:tcPr>
            <w:tcW w:type="dxa" w:w="12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0,9251</w:t>
            </w:r>
          </w:p>
        </w:tc>
        <w:tc>
          <w:tcPr>
            <w:tcW w:type="dxa" w:w="12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0,7933</w:t>
            </w:r>
          </w:p>
        </w:tc>
        <w:tc>
          <w:tcPr>
            <w:tcW w:type="dxa" w:w="16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0,1318</w:t>
            </w:r>
          </w:p>
        </w:tc>
        <w:tc>
          <w:tcPr>
            <w:tcW w:type="dxa" w:w="1886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+0,0081</w:t>
            </w:r>
          </w:p>
        </w:tc>
        <w:tc>
          <w:tcPr>
            <w:tcW w:type="dxa" w:w="1886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+0,0272</w:t>
            </w:r>
          </w:p>
        </w:tc>
      </w:tr>
    </w:tbl>
    <w:p>
      <w:pPr>
        <w:spacing w:before="180" w:after="60"/>
        <w:jc w:val="both"/>
      </w:pPr>
      <w:r>
        <w:rPr>
          <w:b/>
          <w:sz w:val="18"/>
        </w:rPr>
        <w:t xml:space="preserve">Tabla 3. </w:t>
      </w:r>
      <w:r>
        <w:rPr>
          <w:sz w:val="18"/>
        </w:rPr>
        <w:t>Precisión media por clase a un umbral de solapamiento de 0,50. La brecha es la diferencia entre ambas clases, y Δ la variación respecto a la línea base.</w:t>
      </w:r>
    </w:p>
    <w:p>
      <w:pPr>
        <w:jc w:val="both"/>
      </w:pPr>
      <w:r>
        <w:rPr>
          <w:sz w:val="16"/>
        </w:rPr>
        <w:t>Todos los valores son mAP50. En negrita, el mejor resultado de cada columna; en la brecha, el menor. Los valores Δ se calculan respecto a YOLOv8n.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