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242F" w14:textId="1E36F002" w:rsidR="00D82D3D" w:rsidRDefault="000B163D">
      <w:pPr>
        <w:rPr>
          <w:b/>
          <w:bCs/>
        </w:rPr>
      </w:pPr>
      <w:r>
        <w:rPr>
          <w:b/>
          <w:bCs/>
        </w:rPr>
        <w:t>DIABETES COG</w:t>
      </w:r>
    </w:p>
    <w:p w14:paraId="6A7116A6" w14:textId="0F7EE04F" w:rsidR="007944E8" w:rsidRDefault="000B163D">
      <w:pPr>
        <w:rPr>
          <w:b/>
          <w:bCs/>
        </w:rPr>
      </w:pPr>
      <w:r>
        <w:rPr>
          <w:b/>
          <w:bCs/>
        </w:rPr>
        <w:t xml:space="preserve">Statistical Analysis for Specific Aim 1: </w:t>
      </w:r>
    </w:p>
    <w:p w14:paraId="6F17A770" w14:textId="089B0A37" w:rsidR="00694D77" w:rsidRDefault="007944E8" w:rsidP="007944E8">
      <w:r>
        <w:rPr>
          <w:u w:val="single"/>
        </w:rPr>
        <w:t>Phase 1. Summary Statistics</w:t>
      </w:r>
      <w:r>
        <w:t xml:space="preserve">: </w:t>
      </w:r>
      <w:r w:rsidR="00694D77">
        <w:t xml:space="preserve">We will summarize the characteristics of participants in each cohort study and the pooled cohort in Phase 1, including cognitive outcomes </w:t>
      </w:r>
      <w:r>
        <w:t>and independent variables (</w:t>
      </w:r>
      <w:r w:rsidR="00370952">
        <w:t xml:space="preserve">race and cumulative </w:t>
      </w:r>
      <w:r w:rsidR="00167787">
        <w:t xml:space="preserve">mean </w:t>
      </w:r>
      <w:r w:rsidR="00370952">
        <w:t>glucose levels</w:t>
      </w:r>
      <w:r>
        <w:t>).</w:t>
      </w:r>
      <w:r w:rsidR="00370952">
        <w:t xml:space="preserve"> We will also examine the interpersonal correlation of cognitive tests across items and years. </w:t>
      </w:r>
    </w:p>
    <w:p w14:paraId="6C5DDCB3" w14:textId="372A73C1" w:rsidR="0002688B" w:rsidRDefault="00370952" w:rsidP="00370952">
      <w:r>
        <w:rPr>
          <w:u w:val="single"/>
        </w:rPr>
        <w:t>Phase 2.</w:t>
      </w:r>
      <w:r w:rsidR="004F4909">
        <w:rPr>
          <w:u w:val="single"/>
        </w:rPr>
        <w:t xml:space="preserve"> Statistical</w:t>
      </w:r>
      <w:r>
        <w:rPr>
          <w:u w:val="single"/>
        </w:rPr>
        <w:t xml:space="preserve"> Model</w:t>
      </w:r>
      <w:r w:rsidR="004F4909">
        <w:rPr>
          <w:u w:val="single"/>
        </w:rPr>
        <w:t>s</w:t>
      </w:r>
      <w:r>
        <w:t xml:space="preserve">: </w:t>
      </w:r>
      <w:r w:rsidR="002C7EA2">
        <w:t xml:space="preserve">We will test </w:t>
      </w:r>
      <w:r w:rsidR="002C7EA2">
        <w:rPr>
          <w:b/>
          <w:bCs/>
        </w:rPr>
        <w:t>Hypothesis 1</w:t>
      </w:r>
      <w:r w:rsidR="002C7EA2">
        <w:t xml:space="preserve">, </w:t>
      </w:r>
      <w:r w:rsidR="002E2411">
        <w:t xml:space="preserve">whether there is a significant effect of race on the slope of cognition after adjusting for cumulative </w:t>
      </w:r>
      <w:r w:rsidR="00B51030">
        <w:t xml:space="preserve">mean </w:t>
      </w:r>
      <w:r w:rsidR="002E2411">
        <w:t>glucose levels and other covariates</w:t>
      </w:r>
      <w:r w:rsidR="004C4EF4">
        <w:t>, by fitting linear mixed-effects models to assess change in cognitive function over time using</w:t>
      </w:r>
      <w:r w:rsidR="00B51030">
        <w:t xml:space="preserve"> the</w:t>
      </w:r>
      <w:r w:rsidR="004C4EF4">
        <w:t xml:space="preserve"> pooled cohort data. Biostatistician/Co-I Galecki has extensive expertise in linear mixed-effects modeling with longitudinal data. </w:t>
      </w:r>
      <w:r w:rsidR="004C4EF4">
        <w:rPr>
          <w:u w:val="single"/>
        </w:rPr>
        <w:t>The basic model</w:t>
      </w:r>
      <w:r w:rsidR="004C4EF4">
        <w:t xml:space="preserve"> is:</w:t>
      </w:r>
    </w:p>
    <w:p w14:paraId="47CEF2BE" w14:textId="2F795BB6" w:rsidR="006234FF" w:rsidRPr="002B3EA3" w:rsidRDefault="006900BE" w:rsidP="006234FF">
      <m:oMath>
        <m:sSub>
          <m:sSubPr>
            <m:ctrlPr>
              <w:rPr>
                <w:rFonts w:ascii="Cambria Math" w:hAnsi="Cambria Math"/>
                <w:i/>
              </w:rPr>
            </m:ctrlPr>
          </m:sSubPr>
          <m:e>
            <m:r>
              <w:rPr>
                <w:rFonts w:ascii="Cambria Math" w:hAnsi="Cambria Math"/>
              </w:rPr>
              <m:t>Cognition</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glucose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it</m:t>
            </m:r>
          </m:sub>
        </m:sSub>
      </m:oMath>
      <w:r w:rsidR="004F2E24">
        <w:rPr>
          <w:rFonts w:eastAsiaTheme="minorEastAsia"/>
        </w:rPr>
        <w:t xml:space="preserve"> </w:t>
      </w:r>
    </w:p>
    <w:p w14:paraId="6943476D" w14:textId="36CD85D6" w:rsidR="006234FF" w:rsidRPr="001D6EC4" w:rsidRDefault="006234FF" w:rsidP="006234FF">
      <w:pPr>
        <w:rPr>
          <w:b/>
          <w:bCs/>
          <w:i/>
          <w:iCs/>
        </w:rPr>
      </w:pPr>
      <m:oMathPara>
        <m:oMathParaPr>
          <m:jc m:val="left"/>
        </m:oMathParaPr>
        <m:oMath>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 xml:space="preserve"> ~ 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r>
            <m:rPr>
              <m:sty m:val="p"/>
            </m:rPr>
            <w:rPr>
              <w:rFonts w:ascii="Cambria Math" w:hAnsi="Cambria Math"/>
            </w:rPr>
            <m:t xml:space="preserve">random effects </m:t>
          </m:r>
          <m:d>
            <m:dPr>
              <m:begChr m:val="["/>
              <m:endChr m:val="]"/>
              <m:ctrlPr>
                <w:rPr>
                  <w:rFonts w:ascii="Cambria Math" w:hAnsi="Cambria Math"/>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α</m:t>
                        </m:r>
                      </m:e>
                      <m:sub>
                        <m:r>
                          <w:rPr>
                            <w:rFonts w:ascii="Cambria Math" w:hAnsi="Cambria Math"/>
                          </w:rPr>
                          <m:t>i</m:t>
                        </m:r>
                      </m:sub>
                    </m:sSub>
                  </m:e>
                </m:mr>
                <m:mr>
                  <m:e>
                    <m:sSub>
                      <m:sSubPr>
                        <m:ctrlPr>
                          <w:rPr>
                            <w:rFonts w:ascii="Cambria Math" w:hAnsi="Cambria Math"/>
                            <w:i/>
                            <w:iCs/>
                          </w:rPr>
                        </m:ctrlPr>
                      </m:sSubPr>
                      <m:e>
                        <m:r>
                          <w:rPr>
                            <w:rFonts w:ascii="Cambria Math" w:hAnsi="Cambria Math"/>
                          </w:rPr>
                          <m:t>τ</m:t>
                        </m:r>
                      </m:e>
                      <m:sub>
                        <m:r>
                          <w:rPr>
                            <w:rFonts w:ascii="Cambria Math" w:hAnsi="Cambria Math"/>
                          </w:rPr>
                          <m:t>i</m:t>
                        </m:r>
                      </m:sub>
                    </m:sSub>
                  </m:e>
                </m:mr>
              </m:m>
            </m:e>
          </m:d>
          <m:r>
            <w:rPr>
              <w:rFonts w:ascii="Cambria Math" w:hAnsi="Cambria Math"/>
            </w:rPr>
            <m:t>~ N</m:t>
          </m:r>
          <m:d>
            <m:dPr>
              <m:ctrlPr>
                <w:rPr>
                  <w:rFonts w:ascii="Cambria Math" w:hAnsi="Cambria Math"/>
                  <w:i/>
                  <w:iCs/>
                </w:rPr>
              </m:ctrlPr>
            </m:dPr>
            <m:e>
              <m:r>
                <w:rPr>
                  <w:rFonts w:ascii="Cambria Math" w:hAnsi="Cambria Math"/>
                </w:rPr>
                <m:t xml:space="preserve">0, </m:t>
              </m:r>
              <m:r>
                <m:rPr>
                  <m:sty m:val="bi"/>
                </m:rPr>
                <w:rPr>
                  <w:rFonts w:ascii="Cambria Math" w:hAnsi="Cambria Math"/>
                </w:rPr>
                <m:t>D</m:t>
              </m:r>
            </m:e>
          </m:d>
          <m:r>
            <w:rPr>
              <w:rFonts w:ascii="Cambria Math" w:hAnsi="Cambria Math"/>
            </w:rPr>
            <m:t xml:space="preserve"> </m:t>
          </m:r>
          <m:r>
            <m:rPr>
              <m:sty m:val="p"/>
            </m:rPr>
            <w:rPr>
              <w:rFonts w:ascii="Cambria Math" w:hAnsi="Cambria Math"/>
            </w:rPr>
            <m:t xml:space="preserve">and </m:t>
          </m:r>
          <m:r>
            <m:rPr>
              <m:sty m:val="bi"/>
            </m:rPr>
            <w:rPr>
              <w:rFonts w:ascii="Cambria Math" w:hAnsi="Cambria Math"/>
            </w:rPr>
            <m:t>D</m:t>
          </m:r>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σ</m:t>
                        </m:r>
                      </m:e>
                      <m:sub>
                        <m:r>
                          <w:rPr>
                            <w:rFonts w:ascii="Cambria Math" w:hAnsi="Cambria Math"/>
                          </w:rPr>
                          <m:t>α</m:t>
                        </m:r>
                      </m:sub>
                      <m:sup>
                        <m:r>
                          <w:rPr>
                            <w:rFonts w:ascii="Cambria Math" w:hAnsi="Cambria Math"/>
                          </w:rPr>
                          <m:t>2</m:t>
                        </m:r>
                      </m:sup>
                    </m:sSubSup>
                  </m:e>
                  <m:e>
                    <m:r>
                      <w:rPr>
                        <w:rFonts w:ascii="Cambria Math" w:hAnsi="Cambria Math"/>
                      </w:rPr>
                      <m:t>cov(</m:t>
                    </m:r>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τ</m:t>
                        </m:r>
                      </m:e>
                      <m:sub>
                        <m:r>
                          <w:rPr>
                            <w:rFonts w:ascii="Cambria Math" w:hAnsi="Cambria Math"/>
                          </w:rPr>
                          <m:t>i</m:t>
                        </m:r>
                      </m:sub>
                    </m:sSub>
                    <m:r>
                      <w:rPr>
                        <w:rFonts w:ascii="Cambria Math" w:hAnsi="Cambria Math"/>
                      </w:rPr>
                      <m:t>)</m:t>
                    </m:r>
                  </m:e>
                </m:mr>
                <m:mr>
                  <m:e>
                    <m:r>
                      <w:rPr>
                        <w:rFonts w:ascii="Cambria Math" w:hAnsi="Cambria Math"/>
                      </w:rPr>
                      <m:t>cov(</m:t>
                    </m:r>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τ</m:t>
                        </m:r>
                      </m:e>
                      <m:sub>
                        <m:r>
                          <w:rPr>
                            <w:rFonts w:ascii="Cambria Math" w:hAnsi="Cambria Math"/>
                          </w:rPr>
                          <m:t>i</m:t>
                        </m:r>
                      </m:sub>
                    </m:sSub>
                    <m:r>
                      <w:rPr>
                        <w:rFonts w:ascii="Cambria Math" w:hAnsi="Cambria Math"/>
                      </w:rPr>
                      <m:t>)</m:t>
                    </m:r>
                  </m:e>
                  <m:e>
                    <m:sSubSup>
                      <m:sSubSupPr>
                        <m:ctrlPr>
                          <w:rPr>
                            <w:rFonts w:ascii="Cambria Math" w:hAnsi="Cambria Math"/>
                            <w:i/>
                            <w:iCs/>
                          </w:rPr>
                        </m:ctrlPr>
                      </m:sSubSupPr>
                      <m:e>
                        <m:r>
                          <w:rPr>
                            <w:rFonts w:ascii="Cambria Math" w:hAnsi="Cambria Math"/>
                          </w:rPr>
                          <m:t>σ</m:t>
                        </m:r>
                      </m:e>
                      <m:sub>
                        <m:r>
                          <w:rPr>
                            <w:rFonts w:ascii="Cambria Math" w:hAnsi="Cambria Math"/>
                          </w:rPr>
                          <m:t>τ</m:t>
                        </m:r>
                      </m:sub>
                      <m:sup>
                        <m:r>
                          <w:rPr>
                            <w:rFonts w:ascii="Cambria Math" w:hAnsi="Cambria Math"/>
                          </w:rPr>
                          <m:t>2</m:t>
                        </m:r>
                      </m:sup>
                    </m:sSubSup>
                  </m:e>
                </m:mr>
              </m:m>
            </m:e>
          </m:d>
        </m:oMath>
      </m:oMathPara>
    </w:p>
    <w:p w14:paraId="70CADEFC" w14:textId="44B28255" w:rsidR="007944E8" w:rsidRDefault="006234FF" w:rsidP="007944E8">
      <w:pPr>
        <w:rPr>
          <w:rFonts w:eastAsiaTheme="minorEastAsia"/>
        </w:rPr>
      </w:pPr>
      <w:r>
        <w:t xml:space="preserve">Subscripts </w:t>
      </w:r>
      <m:oMath>
        <m:r>
          <w:rPr>
            <w:rFonts w:ascii="Cambria Math" w:hAnsi="Cambria Math"/>
          </w:rPr>
          <m:t>i</m:t>
        </m:r>
      </m:oMath>
      <w:r>
        <w:t xml:space="preserve"> and </w:t>
      </w:r>
      <m:oMath>
        <m:r>
          <w:rPr>
            <w:rFonts w:ascii="Cambria Math" w:hAnsi="Cambria Math"/>
          </w:rPr>
          <m:t>t</m:t>
        </m:r>
      </m:oMath>
      <w:r>
        <w:rPr>
          <w:rFonts w:eastAsiaTheme="minorEastAsia"/>
        </w:rPr>
        <w:t xml:space="preserve"> represent individual and observation at time </w:t>
      </w:r>
      <m:oMath>
        <m:r>
          <w:rPr>
            <w:rFonts w:ascii="Cambria Math" w:hAnsi="Cambria Math"/>
          </w:rPr>
          <m:t>t</m:t>
        </m:r>
      </m:oMath>
      <w:r>
        <w:rPr>
          <w:rFonts w:eastAsiaTheme="minorEastAsia"/>
        </w:rPr>
        <w:t xml:space="preserve">, respectively. </w:t>
      </w:r>
      <w:r w:rsidR="003A5670">
        <w:rPr>
          <w:rFonts w:eastAsiaTheme="minorEastAsia"/>
        </w:rPr>
        <w:t xml:space="preserve">Time is expressed as years from </w:t>
      </w:r>
      <w:r w:rsidR="00EC5558">
        <w:rPr>
          <w:rFonts w:eastAsiaTheme="minorEastAsia"/>
        </w:rPr>
        <w:t xml:space="preserve">initial </w:t>
      </w:r>
      <w:r w:rsidR="003A5670">
        <w:rPr>
          <w:rFonts w:eastAsiaTheme="minorEastAsia"/>
        </w:rPr>
        <w:t xml:space="preserve">cognitive measurement. </w:t>
      </w:r>
      <w:r>
        <w:rPr>
          <w:rFonts w:eastAsiaTheme="minorEastAsia"/>
        </w:rPr>
        <w:t>The basic model includes race</w:t>
      </w:r>
      <w:r w:rsidR="00230C9E">
        <w:rPr>
          <w:rFonts w:eastAsiaTheme="minorEastAsia"/>
        </w:rPr>
        <w:t xml:space="preserve"> and</w:t>
      </w:r>
      <w:r>
        <w:rPr>
          <w:rFonts w:eastAsiaTheme="minorEastAsia"/>
        </w:rPr>
        <w:t xml:space="preserve"> </w:t>
      </w:r>
      <w:r w:rsidR="00C14D21">
        <w:rPr>
          <w:rFonts w:eastAsiaTheme="minorEastAsia"/>
        </w:rPr>
        <w:t>age</w:t>
      </w:r>
      <w:r w:rsidR="00230C9E">
        <w:rPr>
          <w:rFonts w:eastAsiaTheme="minorEastAsia"/>
        </w:rPr>
        <w:t>, along with their two-way interactions with time, and cumulative mean glucose</w:t>
      </w:r>
      <w:r w:rsidR="0002688B">
        <w:rPr>
          <w:rFonts w:eastAsiaTheme="minorEastAsia"/>
        </w:rPr>
        <w:t xml:space="preserve">. </w:t>
      </w:r>
      <w:r w:rsidR="004D1BA9">
        <w:rPr>
          <w:rFonts w:eastAsiaTheme="minorEastAsia"/>
        </w:rPr>
        <w:t xml:space="preserve">Random intercepts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4D1BA9">
        <w:rPr>
          <w:rFonts w:eastAsiaTheme="minorEastAsia"/>
        </w:rPr>
        <w:t xml:space="preserve"> and slopes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sidR="004D1BA9">
        <w:rPr>
          <w:rFonts w:eastAsiaTheme="minorEastAsia"/>
        </w:rPr>
        <w:t xml:space="preserve"> are included to accommodate </w:t>
      </w:r>
      <w:r w:rsidR="00F3140C">
        <w:rPr>
          <w:rFonts w:eastAsiaTheme="minorEastAsia"/>
        </w:rPr>
        <w:t xml:space="preserve">the correlation of cognitive measures within participants over time and to allow participant-specific rates of cognitive change. The </w:t>
      </w:r>
      <m:oMath>
        <m:r>
          <m:rPr>
            <m:sty m:val="bi"/>
          </m:rPr>
          <w:rPr>
            <w:rFonts w:ascii="Cambria Math" w:eastAsiaTheme="minorEastAsia" w:hAnsi="Cambria Math"/>
          </w:rPr>
          <m:t>D</m:t>
        </m:r>
      </m:oMath>
      <w:r w:rsidR="00F3140C">
        <w:rPr>
          <w:rFonts w:eastAsiaTheme="minorEastAsia"/>
          <w:b/>
          <w:bCs/>
        </w:rPr>
        <w:t xml:space="preserve"> </w:t>
      </w:r>
      <w:r w:rsidR="00F3140C">
        <w:rPr>
          <w:rFonts w:eastAsiaTheme="minorEastAsia"/>
        </w:rPr>
        <w:t xml:space="preserve">matrix defines variance-covariance for subject-specific random effects, which are </w:t>
      </w:r>
      <w:r w:rsidR="002D10DB">
        <w:rPr>
          <w:rFonts w:eastAsiaTheme="minorEastAsia"/>
        </w:rPr>
        <w:t xml:space="preserve">assumed to be </w:t>
      </w:r>
      <w:r w:rsidR="00F3140C">
        <w:rPr>
          <w:rFonts w:eastAsiaTheme="minorEastAsia"/>
        </w:rPr>
        <w:t xml:space="preserve">normally distributed. Random errors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00F3140C">
        <w:rPr>
          <w:rFonts w:eastAsiaTheme="minorEastAsia"/>
        </w:rPr>
        <w:t xml:space="preserve"> are independent from each other. </w:t>
      </w:r>
      <w:r w:rsidR="002E2411">
        <w:rPr>
          <w:rFonts w:eastAsiaTheme="minorEastAsia"/>
        </w:rPr>
        <w:t xml:space="preserve">The main effect of interest when testing </w:t>
      </w:r>
      <w:r w:rsidR="002E2411">
        <w:rPr>
          <w:rFonts w:eastAsiaTheme="minorEastAsia"/>
          <w:b/>
          <w:bCs/>
        </w:rPr>
        <w:t xml:space="preserve">Hypothesis 1 </w:t>
      </w:r>
      <w:r w:rsidR="002E2411">
        <w:rPr>
          <w:rFonts w:eastAsiaTheme="minorEastAsia"/>
        </w:rPr>
        <w:t xml:space="preserve">is associated with the race </w:t>
      </w:r>
      <w:r w:rsidR="004177B7">
        <w:rPr>
          <w:rFonts w:eastAsiaTheme="minorEastAsia"/>
        </w:rPr>
        <w:t xml:space="preserve">by </w:t>
      </w:r>
      <w:r w:rsidR="002E2411">
        <w:rPr>
          <w:rFonts w:eastAsiaTheme="minorEastAsia"/>
        </w:rPr>
        <w:t xml:space="preserve">time interaction (i.e.,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race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oMath>
      <w:r w:rsidR="002E2411">
        <w:rPr>
          <w:rFonts w:eastAsiaTheme="minorEastAsia"/>
        </w:rPr>
        <w:t>)</w:t>
      </w:r>
      <w:r w:rsidR="000F58CA">
        <w:rPr>
          <w:rFonts w:eastAsiaTheme="minorEastAsia"/>
        </w:rPr>
        <w:t xml:space="preserve"> and whether this effect is attenuated by i</w:t>
      </w:r>
      <w:r w:rsidR="00230C9E">
        <w:rPr>
          <w:rFonts w:eastAsiaTheme="minorEastAsia"/>
        </w:rPr>
        <w:t>ntroducing a</w:t>
      </w:r>
      <w:r w:rsidR="000F58CA">
        <w:rPr>
          <w:rFonts w:eastAsiaTheme="minorEastAsia"/>
        </w:rPr>
        <w:t xml:space="preserve"> cumulative glucose by time interaction into the </w:t>
      </w:r>
      <w:r w:rsidR="00AE23F5">
        <w:rPr>
          <w:rFonts w:eastAsiaTheme="minorEastAsia"/>
        </w:rPr>
        <w:t xml:space="preserve">basic </w:t>
      </w:r>
      <w:r w:rsidR="000F58CA">
        <w:rPr>
          <w:rFonts w:eastAsiaTheme="minorEastAsia"/>
        </w:rPr>
        <w:t>model</w:t>
      </w:r>
      <w:r w:rsidR="002E2411">
        <w:rPr>
          <w:rFonts w:eastAsiaTheme="minorEastAsia"/>
        </w:rPr>
        <w:t xml:space="preserve">. </w:t>
      </w:r>
      <w:r w:rsidR="00FF6E5B">
        <w:rPr>
          <w:rFonts w:eastAsiaTheme="minorEastAsia"/>
        </w:rPr>
        <w:t>T</w:t>
      </w:r>
      <w:r w:rsidR="005818F4">
        <w:rPr>
          <w:rFonts w:eastAsiaTheme="minorEastAsia"/>
        </w:rPr>
        <w:t xml:space="preserve">he basic model includes select covariates for simplicity. Other covariates listed in </w:t>
      </w:r>
      <w:r w:rsidR="005818F4" w:rsidRPr="0043395F">
        <w:rPr>
          <w:rFonts w:eastAsiaTheme="minorEastAsia"/>
          <w:b/>
          <w:bCs/>
        </w:rPr>
        <w:t>Section C2</w:t>
      </w:r>
      <w:r w:rsidR="00A85900" w:rsidRPr="0043395F">
        <w:rPr>
          <w:rFonts w:eastAsiaTheme="minorEastAsia"/>
          <w:b/>
          <w:bCs/>
        </w:rPr>
        <w:t>c</w:t>
      </w:r>
      <w:r w:rsidR="005818F4">
        <w:rPr>
          <w:rFonts w:eastAsiaTheme="minorEastAsia"/>
          <w:b/>
          <w:bCs/>
        </w:rPr>
        <w:t xml:space="preserve"> </w:t>
      </w:r>
      <w:r w:rsidR="005818F4">
        <w:rPr>
          <w:rFonts w:eastAsiaTheme="minorEastAsia"/>
        </w:rPr>
        <w:t xml:space="preserve">will be considered when developing the final model. </w:t>
      </w:r>
    </w:p>
    <w:p w14:paraId="3A53392D" w14:textId="6637A483" w:rsidR="00A85900" w:rsidRDefault="00CC3F5C" w:rsidP="00FC585F">
      <w:pPr>
        <w:rPr>
          <w:rFonts w:eastAsiaTheme="minorEastAsia"/>
        </w:rPr>
      </w:pPr>
      <w:r>
        <w:rPr>
          <w:rFonts w:eastAsiaTheme="minorEastAsia"/>
        </w:rPr>
        <w:t>We will fit a series of models for each continuous cognitive outcome. GCP will be treated as the primary outcome and EF and Memory as secondary outcomes</w:t>
      </w:r>
      <w:r w:rsidR="000C3CD3">
        <w:rPr>
          <w:rFonts w:eastAsiaTheme="minorEastAsia"/>
        </w:rPr>
        <w:t>. Each outcome will be censored at the time of first expert-adjudicated incident stroke</w:t>
      </w:r>
      <w:r w:rsidR="000C3CD3" w:rsidRPr="002E2411">
        <w:rPr>
          <w:rFonts w:eastAsiaTheme="minorEastAsia"/>
        </w:rPr>
        <w:t>, death, loss to follow-up or the end of follow-up</w:t>
      </w:r>
      <w:r w:rsidR="00BD09BA" w:rsidRPr="002E2411">
        <w:rPr>
          <w:rFonts w:eastAsiaTheme="minorEastAsia"/>
        </w:rPr>
        <w:t xml:space="preserve">. </w:t>
      </w:r>
      <w:r w:rsidR="00A85900">
        <w:rPr>
          <w:rFonts w:eastAsiaTheme="minorEastAsia"/>
        </w:rPr>
        <w:t xml:space="preserve">We will </w:t>
      </w:r>
      <w:r w:rsidR="004177B7">
        <w:rPr>
          <w:rFonts w:eastAsiaTheme="minorEastAsia"/>
        </w:rPr>
        <w:t xml:space="preserve">inspect </w:t>
      </w:r>
      <w:r w:rsidR="00A85900">
        <w:rPr>
          <w:rFonts w:eastAsiaTheme="minorEastAsia"/>
        </w:rPr>
        <w:t xml:space="preserve">residual plots to check </w:t>
      </w:r>
      <w:r w:rsidR="002F1675">
        <w:rPr>
          <w:rFonts w:eastAsiaTheme="minorEastAsia"/>
        </w:rPr>
        <w:t xml:space="preserve">model assumptions. </w:t>
      </w:r>
      <w:r w:rsidR="00A85900">
        <w:rPr>
          <w:rFonts w:eastAsiaTheme="minorEastAsia"/>
        </w:rPr>
        <w:t xml:space="preserve">All analytic code will be made publicly available to optimize </w:t>
      </w:r>
      <w:r w:rsidR="00A85900">
        <w:rPr>
          <w:rFonts w:eastAsiaTheme="minorEastAsia"/>
          <w:u w:val="single"/>
        </w:rPr>
        <w:t>rigor and reproducibility</w:t>
      </w:r>
      <w:r w:rsidR="00A85900">
        <w:rPr>
          <w:rFonts w:eastAsiaTheme="minorEastAsia"/>
        </w:rPr>
        <w:t>.</w:t>
      </w:r>
    </w:p>
    <w:p w14:paraId="60033281" w14:textId="12C7A4B3" w:rsidR="002F1675" w:rsidRDefault="00A85900" w:rsidP="00FC585F">
      <w:pPr>
        <w:rPr>
          <w:rFonts w:eastAsiaTheme="minorEastAsia"/>
        </w:rPr>
      </w:pPr>
      <w:r>
        <w:rPr>
          <w:rFonts w:eastAsiaTheme="minorEastAsia"/>
          <w:b/>
          <w:bCs/>
        </w:rPr>
        <w:t>Assessing heterogeneity in associations:</w:t>
      </w:r>
      <w:r w:rsidR="00926127">
        <w:rPr>
          <w:rFonts w:eastAsiaTheme="minorEastAsia"/>
          <w:b/>
          <w:bCs/>
        </w:rPr>
        <w:t xml:space="preserve"> </w:t>
      </w:r>
      <w:r w:rsidR="00926127">
        <w:rPr>
          <w:rFonts w:eastAsiaTheme="minorEastAsia"/>
        </w:rPr>
        <w:t xml:space="preserve">We will determine whether the </w:t>
      </w:r>
      <w:r w:rsidR="002F1675">
        <w:rPr>
          <w:rFonts w:eastAsiaTheme="minorEastAsia"/>
        </w:rPr>
        <w:t xml:space="preserve">effect of cumulative mean glucose on cognitive slope differs by sex, age, diabetes treatment status or cohort by introducing interaction terms into the basic model. </w:t>
      </w:r>
    </w:p>
    <w:p w14:paraId="3E05EC5F" w14:textId="11B3575C" w:rsidR="004177B7" w:rsidRDefault="008B180F" w:rsidP="00FC585F">
      <w:pPr>
        <w:rPr>
          <w:rFonts w:eastAsiaTheme="minorEastAsia"/>
        </w:rPr>
      </w:pPr>
      <w:r>
        <w:rPr>
          <w:rFonts w:eastAsiaTheme="minorEastAsia"/>
          <w:b/>
          <w:bCs/>
        </w:rPr>
        <w:t xml:space="preserve">AD/ADRD as a secondary outcome: </w:t>
      </w:r>
      <w:r>
        <w:rPr>
          <w:rFonts w:eastAsiaTheme="minorEastAsia"/>
        </w:rPr>
        <w:t>Incident AD/ADRD will be examined as a secondary outcome using competing risk regression models</w:t>
      </w:r>
      <w:r w:rsidR="004177B7">
        <w:rPr>
          <w:rFonts w:eastAsiaTheme="minorEastAsia"/>
        </w:rPr>
        <w:t xml:space="preserve">. </w:t>
      </w:r>
      <w:r w:rsidR="006900BE">
        <w:rPr>
          <w:rFonts w:eastAsiaTheme="minorEastAsia"/>
        </w:rPr>
        <w:t>(</w:t>
      </w:r>
      <w:commentRangeStart w:id="0"/>
      <w:r w:rsidR="006900BE">
        <w:rPr>
          <w:rFonts w:eastAsiaTheme="minorEastAsia"/>
        </w:rPr>
        <w:t>Gerds et al., 2012</w:t>
      </w:r>
      <w:commentRangeEnd w:id="0"/>
      <w:r w:rsidR="006900BE">
        <w:rPr>
          <w:rStyle w:val="CommentReference"/>
        </w:rPr>
        <w:commentReference w:id="0"/>
      </w:r>
      <w:r w:rsidR="006900BE">
        <w:rPr>
          <w:rFonts w:eastAsiaTheme="minorEastAsia"/>
        </w:rPr>
        <w:t xml:space="preserve">) </w:t>
      </w:r>
      <w:r w:rsidR="004177B7">
        <w:rPr>
          <w:rFonts w:eastAsiaTheme="minorEastAsia"/>
        </w:rPr>
        <w:t>Incident all-cause mortality will be treated as a competing event. The basic model will include the same independent variables that were included in the primary analysis.</w:t>
      </w:r>
    </w:p>
    <w:p w14:paraId="4457665A" w14:textId="3429CFAD" w:rsidR="00723F20" w:rsidRPr="002E29A4" w:rsidRDefault="00770E99" w:rsidP="002E29A4">
      <w:bookmarkStart w:id="1" w:name="_Hlk84506343"/>
      <w:r>
        <w:rPr>
          <w:b/>
          <w:bCs/>
        </w:rPr>
        <w:t xml:space="preserve">Missing Data: </w:t>
      </w:r>
      <w:r w:rsidR="0060562F">
        <w:t>The cohorts use multiple tracking methods to minimize</w:t>
      </w:r>
      <w:r w:rsidR="00A709B7">
        <w:t xml:space="preserve"> participant loss, although some covariate and outcome data is still missing due to non-response (i.e., missing items) </w:t>
      </w:r>
      <w:r w:rsidR="00AE23F5">
        <w:t>and</w:t>
      </w:r>
      <w:r w:rsidR="00A709B7">
        <w:t xml:space="preserve"> selective attrition (i.e., dropout due to poor health or death). We will impute missing covariate data under the assumption that it is Missing at Random (MAR).</w:t>
      </w:r>
      <w:r w:rsidR="006900BE">
        <w:t xml:space="preserve"> Assuming that the MAR assumption is not valid, an attempt will be made to incorporate the Missing Not at Random (MNAR) mechanism into the model using pattern-mixture, selection or shared parameter approaches as discussed in Little and Rubin (</w:t>
      </w:r>
      <w:commentRangeStart w:id="2"/>
      <w:r w:rsidR="006900BE">
        <w:t>2019</w:t>
      </w:r>
      <w:commentRangeEnd w:id="2"/>
      <w:r w:rsidR="006900BE">
        <w:rPr>
          <w:rStyle w:val="CommentReference"/>
        </w:rPr>
        <w:commentReference w:id="2"/>
      </w:r>
      <w:r w:rsidR="006900BE">
        <w:t xml:space="preserve">). </w:t>
      </w:r>
      <w:r w:rsidR="00482C64">
        <w:t>We will also identify covariates associated with time-to-death to include in our models and perform sensitivity analyses to model the effects of non-response bias, missing covariates and death. Som</w:t>
      </w:r>
      <w:r w:rsidR="000C762B">
        <w:t>e cohorts minimize missing cognitive data using telephone-administered cognitive measures for those unable to attend in-person examinations. We will perform sensitivity analyses that include telephone-administered cognitive measures, which have been shown to reliably and precisely</w:t>
      </w:r>
      <w:r w:rsidR="00723F20">
        <w:t xml:space="preserve"> estimate </w:t>
      </w:r>
      <w:r w:rsidR="000C762B">
        <w:t xml:space="preserve">GCP, EF and memory. </w:t>
      </w:r>
      <w:r w:rsidR="00723F20">
        <w:t>[Refs</w:t>
      </w:r>
      <w:r w:rsidR="00CC5A33">
        <w:t xml:space="preserve"> needed</w:t>
      </w:r>
      <w:r w:rsidR="00723F20">
        <w:t xml:space="preserve">] </w:t>
      </w:r>
    </w:p>
    <w:bookmarkEnd w:id="1"/>
    <w:p w14:paraId="0855112D" w14:textId="0B96B13E" w:rsidR="006E08A7" w:rsidRDefault="006E08A7" w:rsidP="006E08A7">
      <w:r>
        <w:rPr>
          <w:b/>
          <w:bCs/>
        </w:rPr>
        <w:t xml:space="preserve">Statistical Power Considerations: </w:t>
      </w:r>
      <w:bookmarkStart w:id="3" w:name="_Hlk84505365"/>
      <w:r>
        <w:t>We estimated variance components using pooled data from the six cohort and the harmonized cognitive outcome of GCP (n=28,000). Preliminary data for GCP provided us with a</w:t>
      </w:r>
      <w:r w:rsidR="000F7136">
        <w:t>n estimate of</w:t>
      </w:r>
      <w:r>
        <w:t xml:space="preserve"> standard </w:t>
      </w:r>
      <w:r>
        <w:lastRenderedPageBreak/>
        <w:t xml:space="preserve">deviation of the random slope </w:t>
      </w:r>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rPr>
          <w:rFonts w:eastAsiaTheme="minorEastAsia"/>
        </w:rPr>
        <w:t>=0.31, intercept</w:t>
      </w:r>
      <w:r w:rsidRPr="00025456">
        <w:rPr>
          <w:rFonts w:ascii="Cambria Math" w:hAnsi="Cambria Math"/>
          <w:i/>
        </w:rPr>
        <w:t xml:space="preserve"> </w:t>
      </w:r>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oMath>
      <w:r>
        <w:rPr>
          <w:rFonts w:eastAsiaTheme="minorEastAsia"/>
        </w:rPr>
        <w:t xml:space="preserve">=5.2 and residual </w:t>
      </w:r>
      <m:oMath>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e>
        </m:d>
      </m:oMath>
      <w:r>
        <w:rPr>
          <w:rFonts w:eastAsiaTheme="minorEastAsia"/>
        </w:rPr>
        <w:t xml:space="preserve">=4.6. Assuming that these estimates are the same for the final data and a sample size of more than 28,000 adults with an average of 4 observations per adult, the sample size provides more than 90% power (alpha=0.05) to detect a difference of 0.035 points per year between the GCP slopes of Blacks and Whites. A difference in slope between the two groups can also be expressed as a ratio relative to the corresponding standard deviation of the slope variation (0.11=0.035/0.31). Considering a decline of </w:t>
      </w:r>
      <w:r>
        <w:rPr>
          <w:rFonts w:eastAsiaTheme="minorEastAsia" w:cstheme="minorHAnsi"/>
        </w:rPr>
        <w:t>≥</w:t>
      </w:r>
      <w:r>
        <w:rPr>
          <w:rFonts w:eastAsiaTheme="minorEastAsia"/>
        </w:rPr>
        <w:t>0.5 standard deviations in GCP to be clinically meaningful [refs needed], we are</w:t>
      </w:r>
      <w:r w:rsidR="00250529">
        <w:rPr>
          <w:rFonts w:eastAsiaTheme="minorEastAsia"/>
        </w:rPr>
        <w:t xml:space="preserve"> well</w:t>
      </w:r>
      <w:r>
        <w:rPr>
          <w:rFonts w:eastAsiaTheme="minorEastAsia"/>
        </w:rPr>
        <w:t xml:space="preserve"> positioned to detect even a small effect. </w:t>
      </w:r>
      <w:bookmarkEnd w:id="3"/>
    </w:p>
    <w:p w14:paraId="2CD66648" w14:textId="77777777" w:rsidR="00770E99" w:rsidRPr="000B163D" w:rsidRDefault="00770E99" w:rsidP="00770E99">
      <w:pPr>
        <w:rPr>
          <w:b/>
          <w:bCs/>
        </w:rPr>
      </w:pPr>
      <w:r>
        <w:rPr>
          <w:b/>
          <w:bCs/>
        </w:rPr>
        <w:t>C2c. Potential Problems and Alternative Strategies to Achieve Aim 1</w:t>
      </w:r>
    </w:p>
    <w:p w14:paraId="7CD63AB1" w14:textId="3CE4FF89" w:rsidR="00C774A6" w:rsidRPr="00C774A6" w:rsidRDefault="00815AFC">
      <w:r>
        <w:t>We may be unable to account for all cultural, economic, education</w:t>
      </w:r>
      <w:r w:rsidR="001C0FA3">
        <w:t>al</w:t>
      </w:r>
      <w:r>
        <w:t xml:space="preserve"> and biologic factors that contribute to racial differences in cognitive trajectories. However, we will account for proxies of educational quality, socioeconomic status a</w:t>
      </w:r>
      <w:r w:rsidR="00EB074C">
        <w:t>n</w:t>
      </w:r>
      <w:r>
        <w:t>d vascular risk factors to the best of our abilities.</w:t>
      </w:r>
      <w:r w:rsidR="00B22CAB">
        <w:t xml:space="preserve"> </w:t>
      </w:r>
      <w:bookmarkStart w:id="4" w:name="_Hlk84513613"/>
      <w:r w:rsidR="00E81145">
        <w:t>The pooled cohort does not contain data on adherence to diabetes treatment, although it does contain repeated measures of self-reported treatment status and actual glucose levels over time.</w:t>
      </w:r>
      <w:bookmarkEnd w:id="4"/>
      <w:r w:rsidR="00E81145">
        <w:t xml:space="preserve"> </w:t>
      </w:r>
      <w:bookmarkStart w:id="5" w:name="_Hlk84514300"/>
      <w:r w:rsidR="00E81145">
        <w:t xml:space="preserve">Apolipoprotein (ApoE) genotype is a strong predictor of incident AD/ADRD [ref needed] and is known for a subset of participants in the pooled cohort. ApoE genotype will be </w:t>
      </w:r>
      <w:r w:rsidR="00E95639">
        <w:t>examined</w:t>
      </w:r>
      <w:r w:rsidR="00E81145">
        <w:t xml:space="preserve"> as a covariate in sensitivity analyses.</w:t>
      </w:r>
      <w:r w:rsidR="002E0B35" w:rsidRPr="002E0B35">
        <w:t xml:space="preserve"> </w:t>
      </w:r>
      <w:bookmarkEnd w:id="5"/>
      <w:r w:rsidR="002E0B35">
        <w:t>We recognize that participants from</w:t>
      </w:r>
      <w:r w:rsidR="00BB62C7">
        <w:t xml:space="preserve"> the</w:t>
      </w:r>
      <w:r w:rsidR="002E0B35">
        <w:t xml:space="preserve"> FOS are predominantly White. Hispanic participants from NOMAS and MESA will be excluded from the pooled cohort due to previous research indicating that they have slower cognitive decline than Whites and Blacks. </w:t>
      </w:r>
      <w:r w:rsidR="00BB62C7">
        <w:t xml:space="preserve">Black participants in the pooled cohort are more likely to be excluded than Whites due to stroke or AD/ADRD before the first cognitive assessment, which could reduce racial differences in cognitive decline. [Ref the B vs W paper] Smaller sample size and </w:t>
      </w:r>
      <w:r w:rsidR="00C774A6">
        <w:t xml:space="preserve">fewer cognitive assessments may also reduce the precision of estimates in Blacks. </w:t>
      </w:r>
    </w:p>
    <w:p w14:paraId="4A19B271" w14:textId="2B31D371" w:rsidR="00C774A6" w:rsidRPr="00A85900" w:rsidRDefault="00C774A6">
      <w:r>
        <w:t xml:space="preserve"> </w:t>
      </w:r>
    </w:p>
    <w:sectPr w:rsidR="00C774A6" w:rsidRPr="00A85900" w:rsidSect="000B163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hitney, Rachael" w:date="2021-10-26T15:29:00Z" w:initials="WR">
    <w:p w14:paraId="282B0FBB" w14:textId="5CC43CFD" w:rsidR="006900BE" w:rsidRDefault="006900BE">
      <w:pPr>
        <w:pStyle w:val="CommentText"/>
      </w:pPr>
      <w:r>
        <w:rPr>
          <w:rStyle w:val="CommentReference"/>
        </w:rPr>
        <w:annotationRef/>
      </w:r>
      <w:r w:rsidRPr="00E57CCC">
        <w:t xml:space="preserve">Gerds, T.A., </w:t>
      </w:r>
      <w:proofErr w:type="spellStart"/>
      <w:r w:rsidRPr="00E57CCC">
        <w:t>Scheike</w:t>
      </w:r>
      <w:proofErr w:type="spellEnd"/>
      <w:r w:rsidRPr="00E57CCC">
        <w:t>, T.H. and Andersen, P.K., 2012. Absolute risk regression for competing risks: interpretation, link functions, and prediction. Statistics in medicine, 31(29), pp.3921-3930.</w:t>
      </w:r>
    </w:p>
  </w:comment>
  <w:comment w:id="2" w:author="Whitney, Rachael" w:date="2021-10-26T15:30:00Z" w:initials="WR">
    <w:p w14:paraId="16600EFD" w14:textId="2FB35826" w:rsidR="006900BE" w:rsidRDefault="006900BE">
      <w:pPr>
        <w:pStyle w:val="CommentText"/>
      </w:pPr>
      <w:r>
        <w:rPr>
          <w:rStyle w:val="CommentReference"/>
        </w:rPr>
        <w:annotationRef/>
      </w:r>
      <w:r w:rsidRPr="00885944">
        <w:t>Little, R.J. and Rubin, D.B., 2019. Statistical analysis with missing data (Vol. 793). John Wiley &amp; 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B0FBB" w15:done="0"/>
  <w15:commentEx w15:paraId="16600E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D45" w16cex:dateUtc="2021-10-26T19:29:00Z"/>
  <w16cex:commentExtensible w16cex:durableId="25229DA1" w16cex:dateUtc="2021-10-2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B0FBB" w16cid:durableId="25229D45"/>
  <w16cid:commentId w16cid:paraId="16600EFD" w16cid:durableId="25229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F271" w14:textId="77777777" w:rsidR="00E5395B" w:rsidRDefault="00E5395B" w:rsidP="00025456">
      <w:pPr>
        <w:spacing w:after="0" w:line="240" w:lineRule="auto"/>
      </w:pPr>
      <w:r>
        <w:separator/>
      </w:r>
    </w:p>
  </w:endnote>
  <w:endnote w:type="continuationSeparator" w:id="0">
    <w:p w14:paraId="03D7FD78" w14:textId="77777777" w:rsidR="00E5395B" w:rsidRDefault="00E5395B" w:rsidP="0002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E750" w14:textId="77777777" w:rsidR="00E5395B" w:rsidRDefault="00E5395B" w:rsidP="00025456">
      <w:pPr>
        <w:spacing w:after="0" w:line="240" w:lineRule="auto"/>
      </w:pPr>
      <w:r>
        <w:separator/>
      </w:r>
    </w:p>
  </w:footnote>
  <w:footnote w:type="continuationSeparator" w:id="0">
    <w:p w14:paraId="5FCD7AD5" w14:textId="77777777" w:rsidR="00E5395B" w:rsidRDefault="00E5395B" w:rsidP="00025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295A"/>
    <w:multiLevelType w:val="hybridMultilevel"/>
    <w:tmpl w:val="2FA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C6D5D"/>
    <w:multiLevelType w:val="hybridMultilevel"/>
    <w:tmpl w:val="A28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ney, Rachael">
    <w15:presenceInfo w15:providerId="AD" w15:userId="S::whitnera@med.umich.edu::482eb0c0-fc09-41f8-87d2-5358639e5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7E"/>
    <w:rsid w:val="00011E24"/>
    <w:rsid w:val="00025456"/>
    <w:rsid w:val="0002688B"/>
    <w:rsid w:val="00077D36"/>
    <w:rsid w:val="000A6261"/>
    <w:rsid w:val="000B163D"/>
    <w:rsid w:val="000B187A"/>
    <w:rsid w:val="000C3CD3"/>
    <w:rsid w:val="000C58E3"/>
    <w:rsid w:val="000C762B"/>
    <w:rsid w:val="000F58CA"/>
    <w:rsid w:val="000F7136"/>
    <w:rsid w:val="00101911"/>
    <w:rsid w:val="00116715"/>
    <w:rsid w:val="00141FB3"/>
    <w:rsid w:val="0015037C"/>
    <w:rsid w:val="00152B3D"/>
    <w:rsid w:val="00157125"/>
    <w:rsid w:val="00167787"/>
    <w:rsid w:val="001C0FA3"/>
    <w:rsid w:val="001D2507"/>
    <w:rsid w:val="001D6EC4"/>
    <w:rsid w:val="001F1CA9"/>
    <w:rsid w:val="0020475C"/>
    <w:rsid w:val="00214CBE"/>
    <w:rsid w:val="00230C9E"/>
    <w:rsid w:val="00246510"/>
    <w:rsid w:val="00250529"/>
    <w:rsid w:val="00273A2A"/>
    <w:rsid w:val="00276E35"/>
    <w:rsid w:val="002B3B19"/>
    <w:rsid w:val="002B3EA3"/>
    <w:rsid w:val="002B6B30"/>
    <w:rsid w:val="002C702E"/>
    <w:rsid w:val="002C7EA2"/>
    <w:rsid w:val="002D10DB"/>
    <w:rsid w:val="002E05AF"/>
    <w:rsid w:val="002E0B35"/>
    <w:rsid w:val="002E2411"/>
    <w:rsid w:val="002E29A4"/>
    <w:rsid w:val="002F1675"/>
    <w:rsid w:val="00323C2E"/>
    <w:rsid w:val="00370952"/>
    <w:rsid w:val="00383892"/>
    <w:rsid w:val="003A5670"/>
    <w:rsid w:val="00406B56"/>
    <w:rsid w:val="00407EA0"/>
    <w:rsid w:val="004177B7"/>
    <w:rsid w:val="00424FC1"/>
    <w:rsid w:val="00426CA0"/>
    <w:rsid w:val="0043395F"/>
    <w:rsid w:val="00452524"/>
    <w:rsid w:val="00482C64"/>
    <w:rsid w:val="00493299"/>
    <w:rsid w:val="004B730F"/>
    <w:rsid w:val="004C4EF4"/>
    <w:rsid w:val="004C5DA4"/>
    <w:rsid w:val="004D1BA9"/>
    <w:rsid w:val="004E2F28"/>
    <w:rsid w:val="004F2E24"/>
    <w:rsid w:val="004F4909"/>
    <w:rsid w:val="0051055F"/>
    <w:rsid w:val="00571075"/>
    <w:rsid w:val="005815DE"/>
    <w:rsid w:val="005818F4"/>
    <w:rsid w:val="005B1ED1"/>
    <w:rsid w:val="005B5545"/>
    <w:rsid w:val="006037D5"/>
    <w:rsid w:val="0060562F"/>
    <w:rsid w:val="0062166C"/>
    <w:rsid w:val="006234FF"/>
    <w:rsid w:val="0064606E"/>
    <w:rsid w:val="006900BE"/>
    <w:rsid w:val="00690E88"/>
    <w:rsid w:val="00694D77"/>
    <w:rsid w:val="006D627E"/>
    <w:rsid w:val="006E08A7"/>
    <w:rsid w:val="00705AC0"/>
    <w:rsid w:val="00716CBF"/>
    <w:rsid w:val="00723F20"/>
    <w:rsid w:val="007562A1"/>
    <w:rsid w:val="007644E4"/>
    <w:rsid w:val="00770E99"/>
    <w:rsid w:val="007940D1"/>
    <w:rsid w:val="007944E8"/>
    <w:rsid w:val="00797472"/>
    <w:rsid w:val="007E51F3"/>
    <w:rsid w:val="00815AFC"/>
    <w:rsid w:val="00885944"/>
    <w:rsid w:val="008B180F"/>
    <w:rsid w:val="008E221F"/>
    <w:rsid w:val="00926127"/>
    <w:rsid w:val="009A20A6"/>
    <w:rsid w:val="00A709B7"/>
    <w:rsid w:val="00A85900"/>
    <w:rsid w:val="00A85E76"/>
    <w:rsid w:val="00AA749D"/>
    <w:rsid w:val="00AB59AC"/>
    <w:rsid w:val="00AC5F8F"/>
    <w:rsid w:val="00AE23F5"/>
    <w:rsid w:val="00AF6E50"/>
    <w:rsid w:val="00B10949"/>
    <w:rsid w:val="00B22CAB"/>
    <w:rsid w:val="00B31F92"/>
    <w:rsid w:val="00B51030"/>
    <w:rsid w:val="00B53B83"/>
    <w:rsid w:val="00B707EF"/>
    <w:rsid w:val="00BA0583"/>
    <w:rsid w:val="00BA353A"/>
    <w:rsid w:val="00BB62C7"/>
    <w:rsid w:val="00BC0CC7"/>
    <w:rsid w:val="00BD09BA"/>
    <w:rsid w:val="00BD3803"/>
    <w:rsid w:val="00BD74A4"/>
    <w:rsid w:val="00C14D21"/>
    <w:rsid w:val="00C36547"/>
    <w:rsid w:val="00C774A6"/>
    <w:rsid w:val="00CA429B"/>
    <w:rsid w:val="00CC3F5C"/>
    <w:rsid w:val="00CC5A33"/>
    <w:rsid w:val="00CE2B58"/>
    <w:rsid w:val="00D51677"/>
    <w:rsid w:val="00D5670E"/>
    <w:rsid w:val="00D63BE0"/>
    <w:rsid w:val="00D756B6"/>
    <w:rsid w:val="00D95FFB"/>
    <w:rsid w:val="00DE42DC"/>
    <w:rsid w:val="00E2709B"/>
    <w:rsid w:val="00E45595"/>
    <w:rsid w:val="00E5395B"/>
    <w:rsid w:val="00E5799C"/>
    <w:rsid w:val="00E57CCC"/>
    <w:rsid w:val="00E6393A"/>
    <w:rsid w:val="00E81145"/>
    <w:rsid w:val="00E84B83"/>
    <w:rsid w:val="00E92878"/>
    <w:rsid w:val="00E94E50"/>
    <w:rsid w:val="00E95639"/>
    <w:rsid w:val="00EB074C"/>
    <w:rsid w:val="00EB2723"/>
    <w:rsid w:val="00EB75D0"/>
    <w:rsid w:val="00EC5558"/>
    <w:rsid w:val="00EF1F11"/>
    <w:rsid w:val="00F04B3F"/>
    <w:rsid w:val="00F3140C"/>
    <w:rsid w:val="00F667EE"/>
    <w:rsid w:val="00F70422"/>
    <w:rsid w:val="00FB146C"/>
    <w:rsid w:val="00FC55EA"/>
    <w:rsid w:val="00FC585F"/>
    <w:rsid w:val="00FC5BEB"/>
    <w:rsid w:val="00FE6111"/>
    <w:rsid w:val="00FF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E58E"/>
  <w15:chartTrackingRefBased/>
  <w15:docId w15:val="{D54153B0-931F-457F-A4DA-70DAA369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E35"/>
    <w:rPr>
      <w:color w:val="808080"/>
    </w:rPr>
  </w:style>
  <w:style w:type="paragraph" w:styleId="ListParagraph">
    <w:name w:val="List Paragraph"/>
    <w:basedOn w:val="Normal"/>
    <w:uiPriority w:val="34"/>
    <w:qFormat/>
    <w:rsid w:val="002B6B30"/>
    <w:pPr>
      <w:ind w:left="720"/>
      <w:contextualSpacing/>
    </w:pPr>
  </w:style>
  <w:style w:type="character" w:styleId="CommentReference">
    <w:name w:val="annotation reference"/>
    <w:basedOn w:val="DefaultParagraphFont"/>
    <w:uiPriority w:val="99"/>
    <w:semiHidden/>
    <w:unhideWhenUsed/>
    <w:rsid w:val="008E221F"/>
    <w:rPr>
      <w:sz w:val="16"/>
      <w:szCs w:val="16"/>
    </w:rPr>
  </w:style>
  <w:style w:type="paragraph" w:styleId="CommentText">
    <w:name w:val="annotation text"/>
    <w:basedOn w:val="Normal"/>
    <w:link w:val="CommentTextChar"/>
    <w:uiPriority w:val="99"/>
    <w:semiHidden/>
    <w:unhideWhenUsed/>
    <w:rsid w:val="008E221F"/>
    <w:pPr>
      <w:spacing w:line="240" w:lineRule="auto"/>
    </w:pPr>
    <w:rPr>
      <w:sz w:val="20"/>
      <w:szCs w:val="20"/>
    </w:rPr>
  </w:style>
  <w:style w:type="character" w:customStyle="1" w:styleId="CommentTextChar">
    <w:name w:val="Comment Text Char"/>
    <w:basedOn w:val="DefaultParagraphFont"/>
    <w:link w:val="CommentText"/>
    <w:uiPriority w:val="99"/>
    <w:semiHidden/>
    <w:rsid w:val="008E221F"/>
    <w:rPr>
      <w:sz w:val="20"/>
      <w:szCs w:val="20"/>
    </w:rPr>
  </w:style>
  <w:style w:type="paragraph" w:styleId="CommentSubject">
    <w:name w:val="annotation subject"/>
    <w:basedOn w:val="CommentText"/>
    <w:next w:val="CommentText"/>
    <w:link w:val="CommentSubjectChar"/>
    <w:uiPriority w:val="99"/>
    <w:semiHidden/>
    <w:unhideWhenUsed/>
    <w:rsid w:val="008E221F"/>
    <w:rPr>
      <w:b/>
      <w:bCs/>
    </w:rPr>
  </w:style>
  <w:style w:type="character" w:customStyle="1" w:styleId="CommentSubjectChar">
    <w:name w:val="Comment Subject Char"/>
    <w:basedOn w:val="CommentTextChar"/>
    <w:link w:val="CommentSubject"/>
    <w:uiPriority w:val="99"/>
    <w:semiHidden/>
    <w:rsid w:val="008E221F"/>
    <w:rPr>
      <w:b/>
      <w:bCs/>
      <w:sz w:val="20"/>
      <w:szCs w:val="20"/>
    </w:rPr>
  </w:style>
  <w:style w:type="paragraph" w:styleId="Revision">
    <w:name w:val="Revision"/>
    <w:hidden/>
    <w:uiPriority w:val="99"/>
    <w:semiHidden/>
    <w:rsid w:val="004F2E24"/>
    <w:pPr>
      <w:spacing w:after="0" w:line="240" w:lineRule="auto"/>
    </w:pPr>
  </w:style>
  <w:style w:type="paragraph" w:styleId="Header">
    <w:name w:val="header"/>
    <w:basedOn w:val="Normal"/>
    <w:link w:val="HeaderChar"/>
    <w:uiPriority w:val="99"/>
    <w:unhideWhenUsed/>
    <w:rsid w:val="0002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56"/>
  </w:style>
  <w:style w:type="paragraph" w:styleId="Footer">
    <w:name w:val="footer"/>
    <w:basedOn w:val="Normal"/>
    <w:link w:val="FooterChar"/>
    <w:uiPriority w:val="99"/>
    <w:unhideWhenUsed/>
    <w:rsid w:val="0002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56"/>
  </w:style>
  <w:style w:type="paragraph" w:customStyle="1" w:styleId="Default">
    <w:name w:val="Default"/>
    <w:rsid w:val="00B22CA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Rachael</dc:creator>
  <cp:keywords/>
  <dc:description/>
  <cp:lastModifiedBy>Whitney, Rachael</cp:lastModifiedBy>
  <cp:revision>3</cp:revision>
  <dcterms:created xsi:type="dcterms:W3CDTF">2021-10-26T19:07:00Z</dcterms:created>
  <dcterms:modified xsi:type="dcterms:W3CDTF">2021-10-26T19:31:00Z</dcterms:modified>
</cp:coreProperties>
</file>