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/>
      </w:pPr>
      <w:r>
        <w:rPr>
          <w:b/>
          <w:sz w:val="40"/>
          <w:szCs w:val="40"/>
          <w:color w:val="1F4E79"/>
        </w:rPr>
        <w:t xml:space="preserve">SDA 56742 - Pricing Vehículo</w:t>
      </w:r>
    </w:p>
    <w:p>
      <w:pPr>
        <w:jc w:val="center"/>
        <w:spacing w:before="0" w:after="200"/>
      </w:pPr>
      <w:r>
        <w:rPr>
          <w:b/>
          <w:sz w:val="26"/>
          <w:szCs w:val="26"/>
          <w:color w:val="2E74B5"/>
        </w:rPr>
        <w:t xml:space="preserve">Preguntas pendientes por frente (Online / Batch)</w:t>
      </w:r>
    </w:p>
    <w:p>
      <w:pPr>
        <w:jc w:val="center"/>
        <w:spacing w:before="0" w:after="300"/>
      </w:pPr>
      <w:r>
        <w:rPr>
          <w:i/>
          <w:sz w:val="18"/>
          <w:szCs w:val="18"/>
        </w:rPr>
        <w:t xml:space="preserve">Documento de trabajo - 22 de octubre de 2026 - Equipo HOST (Andrés)</w:t>
      </w:r>
    </w:p>
    <w:p>
      <w:pPr>
        <w:spacing w:before="0" w:after="120"/>
      </w:pPr>
      <w:r>
        <w:t xml:space="preserve">Insumo para cerrar las dudas que están bloqueando o afectando el avance del desarrollo. Organizado por frente porque, aunque las dos partes del proyecto están relacionadas, cada una depende de componentes y decisiones distintas.</w:t>
      </w:r>
    </w:p>
    <w:p>
      <w:pPr>
        <w:spacing w:before="0" w:after="200"/>
      </w:pPr>
      <w:r>
        <w:t xml:space="preserve">Cómo leer este documento: cada fila es una duda puntual, con la razón exacta por la que bloquea o condiciona una decisión de diseño. La idea es usarlo directamente como agenda para resolver con el líder, negocio o los equipos de canal, y que cada respuesta nos permita seguir construyendo sin reconstruir después por una suposición equivocada.</w:t>
      </w:r>
    </w:p>
    <w:p>
      <w:pPr>
        <w:spacing w:before="240" w:after="160"/>
      </w:pPr>
      <w:r>
        <w:rPr>
          <w:b/>
          <w:sz w:val="32"/>
          <w:szCs w:val="32"/>
          <w:color w:val="1F4E79"/>
        </w:rPr>
        <w:t xml:space="preserve">Frente 1 - Online</w:t>
      </w:r>
    </w:p>
    <w:p>
      <w:pPr>
        <w:spacing w:before="0" w:after="160"/>
      </w:pPr>
      <w:r>
        <w:t xml:space="preserve">UG7CCNRA, UR7CCRAR, UR7CCTPR y las commareas. Cubre todo lo que pasa en el momento en que un cliente real pide una simulación o un alta de crédito: qué datos llegan por la commarea, cómo se calculan grupo/prenda/combustible, y cómo se arma la clave de 23 posiciones para buscar la tasa.</w:t>
      </w:r>
    </w:p>
    <w:tbl>
      <w:tblPr>
        <w:tblW w:w="0" w:type="auto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</w:tblPr>
      <w:tblGrid>
        <w:gridCol w:w="500"/>
        <w:gridCol w:w="4300"/>
        <w:gridCol w:w="4300"/>
      </w:tblGrid>
      <w:tr>
        <w:tc>
          <w:tcPr>
            <w:tcW w:w="500" w:type="dxa"/>
            <w:shd w:val="clear" w:color="auto" w:fill="D9E2F3"/>
            <w:vAlign w:val="top"/>
          </w:tcPr>
          <w:p>
            <w:pPr>
              <w:spacing w:before="0" w:after="60"/>
            </w:pPr>
            <w:r>
              <w:rPr>
                <w:b/>
              </w:rPr>
              <w:t xml:space="preserve">#</w:t>
            </w:r>
          </w:p>
        </w:tc>
        <w:tc>
          <w:tcPr>
            <w:tcW w:w="4300" w:type="dxa"/>
            <w:shd w:val="clear" w:color="auto" w:fill="D9E2F3"/>
            <w:vAlign w:val="top"/>
          </w:tcPr>
          <w:p>
            <w:pPr>
              <w:spacing w:before="0" w:after="60"/>
            </w:pPr>
            <w:r>
              <w:rPr>
                <w:b/>
              </w:rPr>
              <w:t xml:space="preserve">Duda</w:t>
            </w:r>
          </w:p>
        </w:tc>
        <w:tc>
          <w:tcPr>
            <w:tcW w:w="4300" w:type="dxa"/>
            <w:shd w:val="clear" w:color="auto" w:fill="D9E2F3"/>
            <w:vAlign w:val="top"/>
          </w:tcPr>
          <w:p>
            <w:pPr>
              <w:spacing w:before="0" w:after="60"/>
            </w:pPr>
            <w:r>
              <w:rPr>
                <w:b/>
              </w:rPr>
              <w:t xml:space="preserve">Por qué es una duda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1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¿Prenda llega por un campo propio del canal (combo box), o se sigue identificando por el subproducto elegido?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Define si 2280B-DETERMINA-PRENDA recibe el dato directo o tiene que derivarlo - son dos diseños de código distintos, no se puede construir sin saber cuál.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2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¿Variable 09 o variable 16 para “grupo de comisión”?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Determina en qué columna física de UGDTNRA se arma la clave - dos benchmarks del líder proponen cosas distintas para el mismo concepto.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3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¿Marca y Nombre del Concesionario deben llegar hasta HOST?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Si sí, hay que ampliar el bloque V1 de la commarea con más campos de los que ya diseñamos (hoy solo NIT).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4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¿Concesionario = Convenio, o hay un nivel intermedio?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Cambia si UG7CCNRA hace una sola consulta a T37 (NIT-&gt;grupo) o dos encadenadas (NIT-&gt;convenio-&gt;grupo).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5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¿Cómo se identifica “Otra” y “Prenda FGA” en garantía?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UG7CCNRA necesita una regla exacta antes de poder resolver la letra de la variable 21.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6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¿LTV llega como fracción (0.70) o entero (70)?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El campo UGNRA-FINANCIA es 9(1)V9(4) - el formato equivocado trunca el dato sin ningún error visible.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7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¿El canal manda el grupo ya resuelto, o manda origen+NIT y HOST calcula?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Define si 2280A-DETERMINA-GRUPO necesita toda su lógica de cálculo o solo valida un valor ya dado.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8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¿Qué valor por defecto asume el sistema si el canal aún no manda combustible/prenda?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Sin esto, el programa no sabe qué hacer con un campo en blanco durante la transición de canales.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9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¿“Gas” es Gasolina o categoría aparte?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Un valor de entrada más o uno menos que validar en línea.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10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¿Quién arma el subproducto antes de llegar a UR7CCRAR/UR7CCTPR?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Llega ya decidido en la commarea; sin saber el origen no sabemos si ese contrato puede cambiar.</w:t>
            </w:r>
          </w:p>
        </w:tc>
      </w:tr>
    </w:tbl>
    <w:p>
      <w:pPr>
        <w:spacing w:before="0" w:after="200"/>
      </w:pPr>
    </w:p>
    <w:p>
      <w:pPr>
        <w:spacing w:before="240" w:after="160"/>
      </w:pPr>
      <w:r>
        <w:rPr>
          <w:b/>
          <w:sz w:val="32"/>
          <w:szCs w:val="32"/>
          <w:color w:val="1F4E79"/>
        </w:rPr>
        <w:t xml:space="preserve">Frente 2 - Batch</w:t>
      </w:r>
    </w:p>
    <w:p>
      <w:pPr>
        <w:spacing w:before="0" w:after="160"/>
      </w:pPr>
      <w:r>
        <w:t xml:space="preserve">PUGDRAR1-4, UG4CRAR1, UG4CRAR2 y el archivo de Tantia. Cubre todo lo que pasa una vez al día: cómo Rentabilidad define las combinaciones y tasas, cómo llega el archivo, y cómo se cataloga y carga en UGDTNRA antes de que el online pueda usarlo.</w:t>
      </w:r>
    </w:p>
    <w:tbl>
      <w:tblPr>
        <w:tblW w:w="0" w:type="auto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4" w:space="0" w:color="8EA9DB"/>
          <w:insideV w:val="single" w:sz="4" w:space="0" w:color="8EA9DB"/>
        </w:tblBorders>
        <w:tblLayout w:type="fixed"/>
      </w:tblPr>
      <w:tblGrid>
        <w:gridCol w:w="500"/>
        <w:gridCol w:w="4300"/>
        <w:gridCol w:w="4300"/>
      </w:tblGrid>
      <w:tr>
        <w:tc>
          <w:tcPr>
            <w:tcW w:w="500" w:type="dxa"/>
            <w:shd w:val="clear" w:color="auto" w:fill="D9E2F3"/>
            <w:vAlign w:val="top"/>
          </w:tcPr>
          <w:p>
            <w:pPr>
              <w:spacing w:before="0" w:after="60"/>
            </w:pPr>
            <w:r>
              <w:rPr>
                <w:b/>
              </w:rPr>
              <w:t xml:space="preserve">#</w:t>
            </w:r>
          </w:p>
        </w:tc>
        <w:tc>
          <w:tcPr>
            <w:tcW w:w="4300" w:type="dxa"/>
            <w:shd w:val="clear" w:color="auto" w:fill="D9E2F3"/>
            <w:vAlign w:val="top"/>
          </w:tcPr>
          <w:p>
            <w:pPr>
              <w:spacing w:before="0" w:after="60"/>
            </w:pPr>
            <w:r>
              <w:rPr>
                <w:b/>
              </w:rPr>
              <w:t xml:space="preserve">Duda</w:t>
            </w:r>
          </w:p>
        </w:tc>
        <w:tc>
          <w:tcPr>
            <w:tcW w:w="4300" w:type="dxa"/>
            <w:shd w:val="clear" w:color="auto" w:fill="D9E2F3"/>
            <w:vAlign w:val="top"/>
          </w:tcPr>
          <w:p>
            <w:pPr>
              <w:spacing w:before="0" w:after="60"/>
            </w:pPr>
            <w:r>
              <w:rPr>
                <w:b/>
              </w:rPr>
              <w:t xml:space="preserve">Por qué es una duda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1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¿Cuál ruta Tantia hay que ampliar - el archivo de clústers o el informe operativo?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Son dos archivos distintos, de dirección opuesta; ampliar el equivocado no resuelve nada.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2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“Matriz y tabla dinámica” (taxonomía) - ¿es la herramienta de Rentabilidad para armar el archivo, o algo que debe construir HOST?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Ver análisis destacado más abajo - es la pregunta de mayor impacto de toda la tabla batch.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3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¿El formato de LTV en el archivo es fracción o entero?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El layout (EEEEE.DDDD) tiene que coincidir exacto con lo que carga UG4CRAR1, o el clúster queda mal catalogado desde el origen.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4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¿Quién mantiene el contenido real de NIT-&gt;Grupo, y con qué frecuencia?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Define si hace falta un proceso de carga adicional o basta mantenimiento manual esporádico.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5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¿Cómo se prioriza qué combinaciones (de ~288 posibles) sí van a tener tasa definida?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Sin esto, la mayoría de créditos caería en tasa política sin que nadie lo note.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6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¿Seminuevo/Compra Instantánea necesitan campo nuevo en el archivo?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Si entran en fase futura, hay que prever el espacio o dejar el layout como está.</w:t>
            </w:r>
          </w:p>
        </w:tc>
      </w:tr>
      <w:tr>
        <w:tc>
          <w:tcPr>
            <w:tcW w:w="500" w:type="dxa"/>
            <w:vAlign w:val="top"/>
          </w:tcPr>
          <w:p>
            <w:pPr>
              <w:spacing w:before="0" w:after="60"/>
            </w:pPr>
            <w:r>
              <w:t xml:space="preserve">7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¿Se requieren las 5 variables en el reporte mensual UG4CRAR5?</w:t>
            </w:r>
          </w:p>
        </w:tc>
        <w:tc>
          <w:tcPr>
            <w:tcW w:w="4300" w:type="dxa"/>
            <w:vAlign w:val="top"/>
          </w:tcPr>
          <w:p>
            <w:pPr>
              <w:spacing w:before="0" w:after="60"/>
            </w:pPr>
            <w:r>
              <w:t xml:space="preserve">Cambiaría lo que se graba en el log, aunque el documento lo marca como opcional.</w:t>
            </w:r>
          </w:p>
        </w:tc>
      </w:tr>
    </w:tbl>
    <w:p>
      <w:pPr>
        <w:spacing w:before="0" w:after="200"/>
      </w:pPr>
    </w:p>
    <w:p>
      <w:pPr>
        <w:spacing w:before="240" w:after="160"/>
      </w:pPr>
      <w:r>
        <w:rPr>
          <w:b/>
          <w:sz w:val="32"/>
          <w:szCs w:val="32"/>
          <w:color w:val="1F4E79"/>
        </w:rPr>
        <w:t xml:space="preserve">Análisis destacado: “Matriz y tabla dinámica”</w:t>
      </w:r>
    </w:p>
    <w:p>
      <w:pPr>
        <w:spacing w:before="0" w:after="140"/>
      </w:pPr>
      <w:r>
        <w:t xml:space="preserve">Contexto: la imagen de taxonomía del proyecto menciona, en la categoría “Habilitadores de Historia”: “Se requiere crear una matriz y tabla dinámica para el manejo de las 5 nuevas variables - Modelo RAR”.</w:t>
      </w:r>
    </w:p>
    <w:p>
      <w:pPr>
        <w:spacing w:before="0" w:after="140"/>
      </w:pPr>
      <w:r>
        <w:t xml:space="preserve">Lectura más probable: es lenguaje de negocio para describir una herramienta del lado de Rentabilidad (muy probablemente Excel o una herramienta de BI con tabla dinámica) que usan para armar y visualizar las combinaciones de las 23 variables (incluyendo las 5 nuevas) antes de generar el archivo plano que mandan por Tantia. No sería, bajo esta lectura, algo que HOST deba construir - UGDTNRA ya cumple ese mismo rol una vez el archivo llega (es, en la práctica, una matriz multidimensional codificada como una cadena de 23 caracteres).</w:t>
      </w:r>
    </w:p>
    <w:p>
      <w:pPr>
        <w:spacing w:before="0" w:after="140"/>
      </w:pPr>
      <w:r>
        <w:t xml:space="preserve">Por qué es la pregunta de mayor impacto del frente batch: si la lectura es correcta, no cambia nada de nuestro alcance. Pero si resulta que esperan que HOST construya una matriz/tabla nueva (un objeto de base de datos adicional, distinto de UGDTNRA), sería una ampliación real de alcance - un componente batch completo que hoy no existe en la malla PUGDIA04, no un ajuste al diseño actual.</w:t>
      </w:r>
    </w:p>
    <w:p>
      <w:pPr>
        <w:spacing w:before="0" w:after="140"/>
      </w:pPr>
      <w:r>
        <w:t xml:space="preserve">Riesgo de fondo a mencionar en la misma conversación, independientemente de la respuesta: la combinatoria de las 5 variables nuevas ya genera 288 combinaciones posibles (6 grupos x 4 prendas x 3 combustibles x 2 LTV x 2 nuevo/usado), antes de cruzar con buró, ingresos, plazo, etc. Es muy poco probable que Rentabilidad defina tasa para cada una - las combinaciones sin clúster definido caen, hoy, de forma silenciosa en la tasa política del subproducto (sin error visible). Vale la pena preguntar cómo van a priorizar cuáles combinaciones sí tendrán tasa preferencial desde el día uno.</w:t>
      </w:r>
    </w:p>
    <w:p>
      <w:pPr>
        <w:spacing w:before="0" w:after="200"/>
      </w:pPr>
      <w:r>
        <w:rPr>
          <w:i/>
        </w:rPr>
        <w:t xml:space="preserve">Pregunta puntual a llevar: “¿La 'matriz y tabla dinámica' que menciona la taxonomía es la herramienta que usa Rentabilidad para armar el archivo de clústers, o es algo adicional que esperan que HOST construya?”</w:t>
      </w:r>
    </w:p>
    <w:p>
      <w:pPr>
        <w:spacing w:before="240" w:after="160"/>
      </w:pPr>
      <w:r>
        <w:rPr>
          <w:b/>
          <w:sz w:val="32"/>
          <w:szCs w:val="32"/>
          <w:color w:val="1F4E79"/>
        </w:rPr>
        <w:t xml:space="preserve">Cómo usar este documento</w:t>
      </w:r>
    </w:p>
    <w:p>
      <w:pPr>
        <w:ind w:left="360" w:hanging="360"/>
        <w:spacing w:before="0" w:after="100"/>
      </w:pPr>
      <w:r>
        <w:rPr>
          <w:b/>
        </w:rPr>
        <w:t xml:space="preserve">- </w:t>
      </w:r>
      <w:r>
        <w:t xml:space="preserve">Las dudas de Online se resuelven principalmente con el líder técnico y los equipos de canal (Web, CAP, NACAR, APIs) - son contrato de commarea y lógica de UG7CCNRA.</w:t>
      </w:r>
    </w:p>
    <w:p>
      <w:pPr>
        <w:ind w:left="360" w:hanging="360"/>
        <w:spacing w:before="0" w:after="100"/>
      </w:pPr>
      <w:r>
        <w:rPr>
          <w:b/>
        </w:rPr>
        <w:t xml:space="preserve">- </w:t>
      </w:r>
      <w:r>
        <w:t xml:space="preserve">Las dudas de Batch se resuelven principalmente con Rentabilidad y Precios y con el administrador de parametría - son formato de archivo y gobierno de datos.</w:t>
      </w:r>
    </w:p>
    <w:p>
      <w:pPr>
        <w:ind w:left="360" w:hanging="360"/>
        <w:spacing w:before="0" w:after="100"/>
      </w:pPr>
      <w:r>
        <w:rPr>
          <w:b/>
        </w:rPr>
        <w:t xml:space="preserve">- </w:t>
      </w:r>
      <w:r>
        <w:t xml:space="preserve">La pregunta de “matriz y tabla dinámica” es la única que, dependiendo de la respuesta, puede cambiar el tamaño del proyecto - se recomienda resolverla primero, antes de cerrar estimaciones con CAP/NACAR/WEB/APIs.</w:t>
      </w:r>
    </w:p>
    <w:sectPr>
      <w:pgSz w:w="12240" w:h="15840"/>
      <w:pgMar w:top="1080" w:right="1080" w:bottom="1080" w:left="108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SDA 56742 - Preguntas Pendientes Online Batch</dc:title>
  <dc:creator>Andrés - Equipo HOST</dc:creator>
</cp:coreProperties>
</file>