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/>
      </w:pPr>
      <w:r>
        <w:rPr>
          <w:b/>
          <w:color w:val="00A6A6"/>
          <w:sz w:val="22"/>
        </w:rPr>
        <w:t>REVISIÓN TÉCNICA</w:t>
      </w:r>
    </w:p>
    <w:p>
      <w:pPr>
        <w:pStyle w:val="Title"/>
      </w:pPr>
      <w:r>
        <w:t>Impacto de APIs en Pricing Avanzado y RVD</w:t>
      </w:r>
    </w:p>
    <w:p>
      <w:pPr>
        <w:spacing w:after="360"/>
      </w:pPr>
      <w:r>
        <w:rPr>
          <w:b/>
          <w:color w:val="145DA0"/>
          <w:sz w:val="28"/>
        </w:rPr>
        <w:t>SDA 56742  |  Vehículo Web / Plataforma Inchcape</w:t>
      </w:r>
    </w:p>
    <w:p>
      <w:pPr>
        <w:spacing w:after="440"/>
      </w:pPr>
      <w:r>
        <w:rPr>
          <w:color w:val="5B6573"/>
          <w:sz w:val="24"/>
        </w:rPr>
        <w:t>Documento de análisis para revisión por Ingeniería, Arquitectura y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0B3A69"/>
                <w:sz w:val="20"/>
              </w:rPr>
              <w:t xml:space="preserve">OBJETIVO  </w:t>
            </w:r>
            <w:r>
              <w:rPr>
                <w:color w:val="1F2937"/>
                <w:sz w:val="19"/>
              </w:rPr>
              <w:t>Identificar qué APIs y servicios tienen relación con las variables de Pricing, cuáles conviene incluir en el alcance de esta fase y qué dependencias requieren validación antes de comprometer desarrollo.</w:t>
            </w:r>
          </w:p>
        </w:tc>
      </w:tr>
    </w:tbl>
    <w:p>
      <w:pPr>
        <w:spacing w:after="0"/>
      </w:pPr>
    </w:p>
    <w:p>
      <w:r>
        <w:t>Fecha de corte: 27 de octubre de 2026</w:t>
      </w:r>
    </w:p>
    <w:p>
      <w:r>
        <w:t>Fuentes revisadas: formato de necesidad SDATOOL 56742, documento maestro de trazabilidad técnica de Vehículo Web y colección Postman InchCapeAPIS V2; se consultó también el diseño técnico E2E de Plataforma Inchcape como antecedente arquitectónico.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iniciativa busca fortalecer el modelo de Pricing Vehículo para tasas fijas y variables, incorporando diferenciadores comerciales y del crédito. La evidencia revisada apunta a que las APIs con mayor impacto probable son las que generan, consultan, modifican y simulan la oferta. No todas las APIs de Vehículo Digital deben modificarse por el solo hecho de participar en el proceso de originación.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0B3A69"/>
                <w:sz w:val="20"/>
              </w:rPr>
              <w:t xml:space="preserve">CONCLUSIÓN PRINCIPAL  </w:t>
            </w:r>
            <w:r>
              <w:rPr>
                <w:color w:val="1F2937"/>
                <w:sz w:val="19"/>
              </w:rPr>
              <w:t>Incluir en el análisis de alcance de esta fase los flujos de contraoferta (POST/GET), confirmación o modificación de oferta (PATCH) y simulación de cuota/plan de pagos. Definir como dependencias o fase posterior las APIs de identificación de concesionario/grupo de comisión, según la nota explícita del formato de necesidad.</w:t>
            </w:r>
          </w:p>
        </w:tc>
      </w:tr>
    </w:tbl>
    <w:p>
      <w:pPr>
        <w:spacing w:after="0"/>
      </w:pPr>
    </w:p>
    <w:p>
      <w:r>
        <w:t>Hay una brecha de trazabilidad que debe cerrarse: las rutas de la colección Postman (/auto-loans/v0/...) no se han podido equiparar de forma demostrada con los servicios identificados por el análisis de Pricing (/v1/offers/... y /v2/loans/...). Por tanto, la colección es útil como inventario de integraciones candidatas, pero no como evidencia suficiente para asignar cambios definitivos.</w:t>
      </w:r>
    </w:p>
    <w:p>
      <w:pPr>
        <w:pStyle w:val="Heading2"/>
      </w:pPr>
      <w:r>
        <w:t>Decisión sugerida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Recomendación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Alcance prioritario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Analizar y estimar cambios de contrato, mapeo y reglas para contraofertas, confirmación y simulación.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Fase posterior / condicional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Alta, consulta y parametrización de concesionarios y grupos de pago de comisión; el Excel indica que APIs podrían pasar a fase posterior según análisis de ENG.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No incluir como cambio funcional sin evidencia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Granting ticket/autenticación, consulta de tareas y registro básico de prospecto, salvo que el contrato cambie para soportar una variable aprobada.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RVD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8"/>
              </w:rPr>
              <w:t>Definir datos, fuente, evento y servicio de persistencia/consulta. La colección Postman revisada no demuestra qué endpoint alimenta el RVD.</w:t>
            </w:r>
          </w:p>
        </w:tc>
      </w:tr>
    </w:tbl>
    <w:p>
      <w:pPr>
        <w:spacing w:after="20"/>
      </w:pPr>
    </w:p>
    <w:p>
      <w:pPr>
        <w:pStyle w:val="Heading1"/>
      </w:pPr>
      <w:r>
        <w:t>2. Variables de Pricing y lectura funcional</w:t>
      </w:r>
    </w:p>
    <w:p>
      <w:r>
        <w:t>La hoja “Datos” del formato de necesidad diferencia variables nuevas o por revisar de variables ya implementadas. Conviene respetar esta distinción: que un dato exista en un canal no demuestra que viaje correctamente al servicio que calcula la tasa ni que se conserve al confirmar la oferta.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Variable / dato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Situación en el formato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Implicación para APIs / servicios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Canal de origen y comisión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Distinguir canales que pagan comisión al dealer de Red, Leads, segmento particulares y mercado directo.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Resolver la fuente del canal antes del cálculo; validar si el canal viene por contrato, contexto de originación o parametría.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Concesionario / grupo pago comisión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NIT y nombre/grupo pueden requerir nuevos campos en Web, CAP y NÁCAR. El formato dice que la propuesta de APIs podría ir a fase posterior, sujeta a ENG.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No dar por aprobado el desarrollo ahora. Confirmar dueño del dato, catálogo/grupos, punto de captura y APIs CRUD/consulta afectadas.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Prenda / sin prenda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En Web no se pregunta explícitamente por garantía y en NÁCAR puede inferirse desde subproducto.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Verificar equivalencia con guaranteeType, pledge y subproducto; evitar asumir que N/A fijo representa la regla comercial correcta.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Combustible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CAP y Web aparecen como cubiertos; revisar NÁCAR. Se mencionan gasolina, híbrido, eléctrico y otros.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Confirmar catálogo, formato del dato y si el contrato de oferta admite el nivel de detalle requerido.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LTV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Rango inicial &lt;=70% y &gt;70%; cálculo con base en valor del vehículo.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Confirmar numerador/denominador, redondeo, límites y punto de cálculo. Evitar duplicar captura si ya existen monto y valor.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Nuevo / usado / seminuevo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Nuevo/usado presente; el formato propone seminuevo como usado y compra instantánea como nuevo.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Homologar códigos y propagar la clasificación hasta la oferta, confirmación y simulación.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Buró, ingresos y situación laboral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El formato los marca como implementados en NÁCAR, Web y CAP.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Validar completitud y semántica en los payloads; el análisis técnico encontró valores por defecto o campos que pueden perderse/ocultarse.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Preaprobados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Modelo por validar; aparece en NÁCAR y CAP.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Definir si comparte matriz de Pricing o requiere tratamiento específico, sin asumirlo por la existencia de la pantalla.</w:t>
            </w:r>
          </w:p>
        </w:tc>
      </w:tr>
    </w:tbl>
    <w:p>
      <w:pPr>
        <w:spacing w:after="20"/>
      </w:pPr>
    </w:p>
    <w:p>
      <w:pPr>
        <w:spacing w:before="40"/>
      </w:pPr>
      <w:r>
        <w:rPr>
          <w:b/>
        </w:rPr>
        <w:t xml:space="preserve">Fuente principal: </w:t>
      </w:r>
      <w:r>
        <w:t>Formato Necesidad SDATOOL 56742 Pricing Avanzado y RVD.xlsx, hoja “Datos”, filas 4–17. La lectura funcional debe validarse con Negocio antes de convertirse en requisito técnico definitivo.</w:t>
      </w:r>
    </w:p>
    <w:p>
      <w:pPr>
        <w:pStyle w:val="Heading1"/>
      </w:pPr>
      <w:r>
        <w:t>3. APIs y operaciones candidatas en Postman</w:t>
      </w:r>
    </w:p>
    <w:p>
      <w:r>
        <w:t>Las siguientes rutas y cuerpos se encuentran en la colección “InchCapeAPIS V2”. La prioridad se refiere al análisis propuesto para Pricing; no implica que el endpoint esté confirmado como el servicio productivo usado por Vehículo Web.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Operación Postman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Relación probable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Recomendación de revisión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POST /auto-loans/v0/vehicles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Registra vehículo y condiciones de operación: valor, monto, plazo, producto/tipo/estado.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Revisar si el contrato debe recibir o propagar canal, concesionario/grupo, combustible, garantía o códigos normalizados. No modificar sin matriz de campos.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POST /auto-loans/v0/vehicles/{idProcess}/prospect-customers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Registro de datos personales y contacto del solicitante.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Tratar como dependencia; cambios solo si un campo aprobado de perfil debe añadirse o corregirse.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GET /auto-loans/v0/tasks/{idProcess}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Consulta tareas/estado del proceso.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No se identifica impacto directo de Pricing. Confirmar únicamente si el flujo nuevo introduce un estado o paso de recalculo.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GET /auto-loans/v0/vehicles/{idProcess}/simulates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Consulta simulaciones de un proceso.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Prioridad alta para trazar respuesta de simulación, tasa, cuota y condiciones. Correlacionar con el ASO vigente antes de estimar.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PATCH /auto-loans/v0/vehicles/{idProcess}/simulates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Actualización de simulación; el ejemplo incluye información laboral.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Prioridad alta de análisis: verificar si modifica datos que afectan perfil y si dispara recálculo real o solo guarda información.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POST /auto-loans/v0/vehicles/{idProcess}/proposals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Operación asociada a propuesta; ejemplo contiene datos del cliente.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Revisar como dependencia downstream: confirmar si crea propuesta final y cómo conserva tasa, producto/subproducto y atributos de Pricing.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POST /TechArchitecture/co/grantingTicket/V02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Emisión de granting ticket / autenticación.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Sin cambio funcional de Pricing identificado. Mantener fuera del desarrollo salvo cambio de seguridad o acceso.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POST APX CPOVT002 / PGRestService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Colección lo describe con transacción QWAIT001; el diseño E2E describe CPOVT002 como Prospect / ValidateProducts.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Discrepancia de nomenclatura/función que requiere resolver con dueño APX/ASO. No asignar desarrollo hasta confirmar identidad y uso.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3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C76A00"/>
                <w:sz w:val="20"/>
              </w:rPr>
              <w:t xml:space="preserve">CAUTELA DE TRAZABILIDAD  </w:t>
            </w:r>
            <w:r>
              <w:rPr>
                <w:color w:val="1F2937"/>
                <w:sz w:val="19"/>
              </w:rPr>
              <w:t>La colección Postman no prueba por sí sola que los endpoints /auto-loans/v0/... sean los mismos servicios del flujo Web analizado en el documento maestro de Pricing. Se requiere confirmar consumidor, ambiente, operación SMC, servicio ASO y transacción Host.</w:t>
            </w:r>
          </w:p>
        </w:tc>
      </w:tr>
    </w:tbl>
    <w:p>
      <w:pPr>
        <w:spacing w:after="0"/>
      </w:pPr>
    </w:p>
    <w:p>
      <w:pPr>
        <w:pStyle w:val="Heading1"/>
      </w:pPr>
      <w:r>
        <w:t>4. Servicios de Vehículo Web con relación directa a Pricing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Flujo / servicio identificado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Trazabilidad técnica documentada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Qué revisar para la iniciativa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Simulación inicial / plan de pagos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ASO LoansInstallmentPlansSimulatesV2; SMC SMGG20240447; Host indirecto CUGHTS02.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Confirmar cuándo se calcula Pricing; revisar monto solicitado, valor del bien, plazo, producto/subproducto, estado del vehículo y atributos de Pricing. Validar que la respuesta no mezcle tasas/valores de momentos distintos.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Generación de contraoferta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POST /v1/offers/counter-offers; SMC SMGG20242090; Host CUGHTO01.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Revisar payload y mapeo para las variables aprobadas. El análisis señala que el frontend no incluye explícitamente aliado/grupo; garantía se envía con valores fijos y combustible no aparece en algunos constructores.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Consulta de contraoferta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GET /v1/offers/counter-offers/{counter-offer-id}; SMC SMGG20242091; Host CUGHTO03.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Verificar que la respuesta conserve la tasa correcta, subproducto, monto, plazo, porcentaje financiado y condiciones para pantallas posteriores.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Confirmación/modificación de oferta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PATCH /v1/offers/confirmation-offers; SMC SMGG20250131; Host CUGHTO04.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Verificar propagación de todos los atributos de Pricing y destino/garantía/estado/combustible. El documento maestro registra riesgo alto de pérdida de atributos en los constructores del PATCH.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Personalización del crédito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Reutiliza PATCH de confirmación y GET de contraoferta.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Definir si cambiar monto/plazo obliga a invocar recalculo. El análisis indica cuota local con tasa previa, offerId enviado null y posibles límites locales no alineados con nueva matriz.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Detalle del crédito / éxito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Vuelve a invocar simulación SMGG20240447 / CUGHTS02 para VTU y plan de pagos.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Alinear fuente de verdad de tasa, seguro y VTU; confirmar que se muestran condiciones definitivas de oferta y no datos de una simulación anterior.</w:t>
            </w:r>
          </w:p>
        </w:tc>
      </w:tr>
    </w:tbl>
    <w:p>
      <w:pPr>
        <w:spacing w:after="20"/>
      </w:pPr>
    </w:p>
    <w:p>
      <w:r>
        <w:rPr>
          <w:b/>
        </w:rPr>
        <w:t xml:space="preserve">Fuente técnica: </w:t>
      </w:r>
      <w:r>
        <w:t>SDA56742_documento_maestro_trazabilidad_v10.pdf, pantallas 1–8, especialmente páginas 4–6, 7–12 y 16–23.</w:t>
      </w:r>
    </w:p>
    <w:p>
      <w:pPr>
        <w:pStyle w:val="Heading1"/>
      </w:pPr>
      <w:r>
        <w:t>5. Propuesta de alcance por fase</w:t>
      </w:r>
    </w:p>
    <w:p>
      <w:pPr>
        <w:pStyle w:val="Heading2"/>
      </w:pPr>
      <w:r>
        <w:t>5.1 Fase actual: análisis detallado y desarrollo condicionado</w:t>
      </w:r>
    </w:p>
    <w:p>
      <w:pPr>
        <w:pStyle w:val="ListBullet"/>
        <w:spacing w:after="40"/>
      </w:pPr>
      <w:r>
        <w:t>POST y GET de contraofertas (CUGHTO01/CUGHTO03): revisar contrato, mapeo de atributos, reglas de Pricing y respuesta.</w:t>
      </w:r>
    </w:p>
    <w:p>
      <w:pPr>
        <w:pStyle w:val="ListBullet"/>
        <w:spacing w:after="40"/>
      </w:pPr>
      <w:r>
        <w:t>PATCH de confirmación/modificación de oferta (CUGHTO04): asegurar persistencia y propagación de atributos de Pricing.</w:t>
      </w:r>
    </w:p>
    <w:p>
      <w:pPr>
        <w:pStyle w:val="ListBullet"/>
        <w:spacing w:after="40"/>
      </w:pPr>
      <w:r>
        <w:t>Simulación de cuotas/plan de pagos (CUGHTS02): determinar si participa en el cálculo de tasa o solo en la representación de pagos/VTU.</w:t>
      </w:r>
    </w:p>
    <w:p>
      <w:pPr>
        <w:pStyle w:val="ListBullet"/>
        <w:spacing w:after="40"/>
      </w:pPr>
      <w:r>
        <w:t>Cambios frontend/Cells necesarios para enviar datos ya capturados y evitar pérdidas o valores por defecto, según los contratos aprobados.</w:t>
      </w:r>
    </w:p>
    <w:p>
      <w:pPr>
        <w:pStyle w:val="ListBullet"/>
        <w:spacing w:after="40"/>
      </w:pPr>
      <w:r>
        <w:t>Pruebas de regresión para LTV &lt;=70%/&gt;70%, nuevo/usado, combustible, garantía, perfil y variaciones de monto/plazo.</w:t>
      </w:r>
    </w:p>
    <w:p>
      <w:pPr>
        <w:pStyle w:val="Heading2"/>
      </w:pPr>
      <w:r>
        <w:t>5.2 Fase posterior o condicional</w:t>
      </w:r>
    </w:p>
    <w:p>
      <w:pPr>
        <w:pStyle w:val="ListBullet"/>
        <w:spacing w:after="40"/>
      </w:pPr>
      <w:r>
        <w:t>APIs para alta/consulta/modificación de concesionarios y grupos de pago de comisión, si Ingeniería confirma que la fuente de datos y la parametría son necesarias en este alcance.</w:t>
      </w:r>
    </w:p>
    <w:p>
      <w:pPr>
        <w:pStyle w:val="ListBullet"/>
        <w:spacing w:after="40"/>
      </w:pPr>
      <w:r>
        <w:t>Nuevos campos y propagación del NIT/nombre de concesionario en Web, CAP y NÁCAR; considerar experiencia del cliente y fuente de verdad.</w:t>
      </w:r>
    </w:p>
    <w:p>
      <w:pPr>
        <w:pStyle w:val="ListBullet"/>
        <w:spacing w:after="40"/>
      </w:pPr>
      <w:r>
        <w:t>Persistencia/consulta del grupo paramétrico y mantenimiento de catálogos, si se aprueba como responsabilidad de las APIs.</w:t>
      </w:r>
    </w:p>
    <w:p>
      <w:r>
        <w:rPr>
          <w:b/>
        </w:rPr>
        <w:t xml:space="preserve">Fundamento: </w:t>
      </w:r>
      <w:r>
        <w:t>la hoja “Datos” del formato, fila 5, indica que la propuesta de APIs para los nuevos campos de concesionario puede pasar a una fase posterior y depende del análisis de ENG.</w:t>
      </w:r>
    </w:p>
    <w:p>
      <w:pPr>
        <w:pStyle w:val="Heading2"/>
      </w:pPr>
      <w:r>
        <w:t>5.3 Dependencias, sin cambio funcional confirmado</w:t>
      </w:r>
    </w:p>
    <w:p>
      <w:pPr>
        <w:pStyle w:val="ListBullet"/>
        <w:spacing w:after="40"/>
      </w:pPr>
      <w:r>
        <w:t>Granting ticket/autenticación: mantener como dependencia técnica.</w:t>
      </w:r>
    </w:p>
    <w:p>
      <w:pPr>
        <w:pStyle w:val="ListBullet"/>
        <w:spacing w:after="40"/>
      </w:pPr>
      <w:r>
        <w:t>Consulta de tareas/estado: no se identifica cambio directo por Pricing.</w:t>
      </w:r>
    </w:p>
    <w:p>
      <w:pPr>
        <w:pStyle w:val="ListBullet"/>
        <w:spacing w:after="40"/>
      </w:pPr>
      <w:r>
        <w:t>Registro de prospecto: no ampliar si los campos actuales cubren los datos aprobados del solicitante.</w:t>
      </w:r>
    </w:p>
    <w:p>
      <w:pPr>
        <w:pStyle w:val="ListBullet"/>
        <w:spacing w:after="40"/>
      </w:pPr>
      <w:r>
        <w:t>RVD: delimitar como un frente específico de datos e integración; definir eventos, entidad de venta, identificador, fuente, persistencia, consulta, calidad y responsables antes de asociarlo a endpoints concretos.</w:t>
      </w:r>
    </w:p>
    <w:p>
      <w:pPr>
        <w:pStyle w:val="Heading1"/>
      </w:pPr>
      <w:r>
        <w:t>6. Riesgos técnicos y decisiones abiertas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Hallazgo / riesgo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Validación necesaria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Responsables sugeridos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Alta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Tasa no recalculada al editar monto/plazo; cuota local usa tasa previa.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Definir evento y API responsable de recalcular Pricing; probar LTV y tasa resultante.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Negocio Pricing + backend/ASO + frontend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Alta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Atributos podrían perderse en PATCH de confirmación.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Comparar request de oferta original, PATCH y respuesta Host CUGHTO04 campo por campo.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Equipo ASO/Host + frontend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Alta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Grupo de comisión puede no existir antes de generar oferta.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Definir origen comercial, momento de disponibilidad y tratamiento si falta el grupo.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Negocio + Ingeniería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Alta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Simulación de plan puede combinar tasa de oferta con datos de simulación posterior.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Acordar fuente de verdad para tasa, seguro y VTU; validar isPricing/pricingValue.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Backend + QA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Garantía y combustible podrían estar fijos, incompletos o en nivel de detalle insuficiente.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Cerrar catálogos y códigos de contrato; validar mapeo ASO–Host.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Negocio + arquitectura de integración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Seminuevo y compra instantánea pueden mapearse de forma inconsistente.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Aprobar regla funcional y códigos comunes entre canales.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Negocio + canales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Perfil: ingresos/actividad laboral pueden llegar con defaults o perderse cuando campos se ocultan.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Trazar origen, transformaciones, default y validaciones asíncronas.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Frontend + backend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Postman y análisis de Vehículo Web no están correlacionados endpoint por endpoint.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Construir trazabilidad por URL, consumidor, SMC, ASO, DAO y Host.</w:t>
            </w:r>
          </w:p>
        </w:tc>
        <w:tc>
          <w:tcPr>
            <w:tcW w:type="dxa" w:w="24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6"/>
              </w:rPr>
              <w:t>Arquitectura + dueño de APIs</w:t>
            </w:r>
          </w:p>
        </w:tc>
      </w:tr>
    </w:tbl>
    <w:p>
      <w:pPr>
        <w:spacing w:after="20"/>
      </w:pPr>
    </w:p>
    <w:p>
      <w:pPr>
        <w:pStyle w:val="Heading1"/>
      </w:pPr>
      <w:r>
        <w:t>7. Preguntas para la revisión de Ingeniería</w:t>
      </w:r>
    </w:p>
    <w:p>
      <w:pPr>
        <w:pStyle w:val="ListNumber"/>
        <w:spacing w:after="60"/>
      </w:pPr>
      <w:r>
        <w:t>¿Qué APIs de la colección Postman se consumen efectivamente desde Vehículo Web en la versión analizada? Adjuntar evidencia desde la configuración de runtime o el código del consumidor.</w:t>
      </w:r>
    </w:p>
    <w:p>
      <w:pPr>
        <w:pStyle w:val="ListNumber"/>
        <w:spacing w:after="60"/>
      </w:pPr>
      <w:r>
        <w:t>¿Existe correspondencia entre /auto-loans/v0/vehicles/.../simulates y LoansInstallmentPlansSimulatesV2 (SMGG20240447)? Si no, ¿cuál es el puente o la diferencia de flujo?</w:t>
      </w:r>
    </w:p>
    <w:p>
      <w:pPr>
        <w:pStyle w:val="ListNumber"/>
        <w:spacing w:after="60"/>
      </w:pPr>
      <w:r>
        <w:t>¿Cuál es el endpoint autoritativo donde se calcula la tasa diferenciada y en qué momento se requiere conocer canal y grupo de comisión?</w:t>
      </w:r>
    </w:p>
    <w:p>
      <w:pPr>
        <w:pStyle w:val="ListNumber"/>
        <w:spacing w:after="60"/>
      </w:pPr>
      <w:r>
        <w:t>¿Qué campos entran al contrato de contraoferta y cuáles efectivamente se mapean al Host CUGHTO01? ¿Cuáles regresan en CUGHTO03?</w:t>
      </w:r>
    </w:p>
    <w:p>
      <w:pPr>
        <w:pStyle w:val="ListNumber"/>
        <w:spacing w:after="60"/>
      </w:pPr>
      <w:r>
        <w:t>¿El PATCH CUGHTO04 conserva todas las variables usadas para el cálculo original? ¿Cuál es el comportamiento con offerId null?</w:t>
      </w:r>
    </w:p>
    <w:p>
      <w:pPr>
        <w:pStyle w:val="ListNumber"/>
        <w:spacing w:after="60"/>
      </w:pPr>
      <w:r>
        <w:t>¿Al modificar monto/plazo en personalise-credit se debe recalcular tasa en backend o solo actualizar una cuota indicativa?</w:t>
      </w:r>
    </w:p>
    <w:p>
      <w:pPr>
        <w:pStyle w:val="ListNumber"/>
        <w:spacing w:after="60"/>
      </w:pPr>
      <w:r>
        <w:t>¿Cómo se representan garantía, prenda, combustible y seminuevo en el contrato actual? ¿Qué catálogos se deben reutilizar o ampliar?</w:t>
      </w:r>
    </w:p>
    <w:p>
      <w:pPr>
        <w:pStyle w:val="ListNumber"/>
        <w:spacing w:after="60"/>
      </w:pPr>
      <w:r>
        <w:t>¿Qué significa exactamente pricing.isPricing / pricing.value en simulación inicial y en la simulación posterior para VTU?</w:t>
      </w:r>
    </w:p>
    <w:p>
      <w:pPr>
        <w:pStyle w:val="ListNumber"/>
        <w:spacing w:after="60"/>
      </w:pPr>
      <w:r>
        <w:t>¿Qué sistema es fuente de verdad para canal, NIT del concesionario, grupo de comisión y reglas paramétricas? ¿Se requiere persistencia nueva?</w:t>
      </w:r>
    </w:p>
    <w:p>
      <w:pPr>
        <w:pStyle w:val="ListNumber"/>
        <w:spacing w:after="60"/>
      </w:pPr>
      <w:r>
        <w:t>Para RVD, ¿qué evento y entidad se registran, de qué canal provienen, cuál es la llave de correlación y qué API crea/consulta los datos?</w:t>
      </w:r>
    </w:p>
    <w:p>
      <w:pPr>
        <w:pStyle w:val="ListNumber"/>
        <w:spacing w:after="60"/>
      </w:pPr>
      <w:r>
        <w:t>¿La mención de CPOVT002 en Postman es una llamada de validación QWAIT001 o la API Prospect/ValidateProducts documentada en E2E? ¿Cuál es el servicio y ambiente correctos?</w:t>
      </w:r>
    </w:p>
    <w:p>
      <w:pPr>
        <w:pStyle w:val="Heading1"/>
      </w:pPr>
      <w:r>
        <w:t>8. Matriz mínima de trazabilidad a completar</w:t>
      </w:r>
    </w:p>
    <w:p>
      <w:r>
        <w:t>Antes de cerrar alcance y esfuerzo, completar una fila por variable y por flujo afectado. No marcar “confirmado” únicamente porque exista un campo con nombre parecido.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Campo de trazabilidad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Qué debe registrar la revisión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Variable de Pricing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Canal, grupo/concesionario, perfil, LTV, destino, garantía, estado o combustible.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Pantalla / paso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Ruta de Vehículo Web y momento en que la variable está disponible.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Endpoint consumidor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Método HTTP, ruta exacta, versión, headers relevantes y cuerpo real usado.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Servicio ASO / SMC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Nombre lógico, ruta, SMC, repositorio, DAO y ambiente.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Host / APX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Transacción y campos de entrada/salida; distinguir invocación directa de indirecta.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Campo origen y destino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Nombre, tipo, obligatoriedad, transformación, default y validación.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Cambio requerido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Ninguno / corrección de mapeo / cambio de contrato / nueva consulta / persistencia / nueva API.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Fase y dependencia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Fase actual, posterior o pendiente; dueño de la decisión y criterio de cierre.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Evidencia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Archivo, página o ruta de código; prueba de request/response que confirma el mapeo.</w:t>
            </w:r>
          </w:p>
        </w:tc>
      </w:tr>
    </w:tbl>
    <w:p>
      <w:pPr>
        <w:spacing w:after="20"/>
      </w:pPr>
    </w:p>
    <w:p>
      <w:pPr>
        <w:pStyle w:val="Heading1"/>
      </w:pPr>
      <w:r>
        <w:t>9. Fuentes revisadas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B3A69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Dónde se usó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Formato Necesidad SDATOOL 56742 Pricing Avanzado y RVD.xlsx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Hoja “Datos”, filas 4–17 para variables y fase de APIs; filas 27–44 para canales/grupos y estado actual; hoja “Def Necesidad” para propósito y límites funcionales.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SDA56742_documento_maestro_trazabilidad_v10.pdf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Páginas 1–2 inventario de pantallas; 4–6 simulación inicial; 7–12 contraofertas/datos económicos; 13–15 preaprobación; 16–23 mejor oferta, personalización, detalle, éxito y matriz de decisiones.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InchCapeAPIS V2.postman_collection.json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Solicitudes POST vehicles, POST prospect-customers, GET tasks, GET/PATCH simulates, POST proposals, grantingTicket V02 y solicitud APX CPOVT002.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Diseño Técnico - E2E - 239448 – Apis Vehículo Digital - Plataforma Inchcape</w:t>
            </w:r>
          </w:p>
        </w:tc>
        <w:tc>
          <w:tcPr>
            <w:tcW w:type="dxa" w:w="6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color w:val="1F2937"/>
                <w:sz w:val="17"/>
              </w:rPr>
              <w:t>Páginas 14–20 del PDF extraído para flujos de vehículo/prospecto, validación, simulación y transacciones APX/Host; útil como antecedente, no prueba de equivalencia con el runtime actual de Pricing.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4E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b/>
                <w:color w:val="276738"/>
                <w:sz w:val="20"/>
              </w:rPr>
              <w:t xml:space="preserve">ESTADO DEL DOCUMENTO  </w:t>
            </w:r>
            <w:r>
              <w:rPr>
                <w:color w:val="1F2937"/>
                <w:sz w:val="19"/>
              </w:rPr>
              <w:t>Análisis de trabajo para revisión técnica. Las rutas candidatas de Postman y el alcance de cambios deben confirmarse con los contratos y el código de la versión vigente. La propuesta no sustituye la aprobación funcional de las variables ni la decisión formal de fase.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Documento de trabajo para revisión técnica  •  27 de octubre de 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5B6573"/>
        <w:sz w:val="16"/>
      </w:rPr>
      <w:t>SDA 56742  |  PRICING AVANZADO Y RVD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B3A6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45D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3A6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técnica de APIs - Pricing Avanzado y RVD SDA 56742</dc:title>
  <dc:subject>Matriz de impacto, propuesta de alcance y preguntas abiertas para Ingeniería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