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2DCCCD"/>
          <w:sz w:val="18"/>
        </w:rPr>
        <w:t>DISEÑO TÉCNICO</w:t>
      </w:r>
    </w:p>
    <w:p>
      <w:pPr>
        <w:spacing w:after="160"/>
      </w:pPr>
      <w:r>
        <w:rPr>
          <w:rFonts w:ascii="Aptos Display" w:hAnsi="Aptos Display"/>
          <w:b/>
          <w:color w:val="072146"/>
          <w:sz w:val="48"/>
        </w:rPr>
        <w:t>Ajustes en componentes consumidores - Metodología 365/360</w:t>
      </w:r>
    </w:p>
    <w:p>
      <w:pPr>
        <w:spacing w:after="240"/>
      </w:pPr>
      <w:r>
        <w:rPr>
          <w:color w:val="666666"/>
          <w:sz w:val="24"/>
        </w:rPr>
        <w:t>Versión actualizada a FESOLIC y switches centralizados en UR9CMLI0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Proyecto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Liquidación de intereses 365/360 - Consumo, Vehículo y Libranza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Referencia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COLXX / COLONEPRE1-XXXX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Fecha actualización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05/10/2026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Elaborado por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BBVA C808648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Alcance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UG2CG660, UG2CG670, UG2CG717, UR1CCOT0, UR8CCUO0 y UR8CCOT0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Exclusión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El diseño interno de UR9CMLI0 se documenta por separado.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vAlign w:val="center"/>
            <w:shd w:fill="EAF3F8"/>
            <w:tcBorders>
              <w:top w:val="single" w:sz="7" w:color="1464A5"/>
              <w:left w:val="single" w:sz="16" w:color="1464A5"/>
              <w:bottom w:val="single" w:sz="7" w:color="1464A5"/>
              <w:right w:val="single" w:sz="7" w:color="1464A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2146"/>
                <w:sz w:val="20"/>
              </w:rPr>
              <w:t>Principio de diseño</w:t>
              <w:br/>
            </w:r>
            <w:r>
              <w:rPr>
                <w:sz w:val="19"/>
              </w:rPr>
              <w:t>La parametría y UR9CMLI0 centralizan la decisión. Los consumidores conservan sus interfaces legacy, reciben FESOLIC como fecha de vigencia y utilizan los switches de salida cuando deben decidir días o cálculo por factor.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Objetivo</w:t>
      </w:r>
    </w:p>
    <w:p>
      <w:r>
        <w:t>Documentar los ajustes de los programas consumidores que soportan la metodología 365/360, preservando el comportamiento histórico para operaciones no elegibles. La integración evita replicar en cada componente reglas de vigencia, tipo de días y activación de cálculo por factor.</w:t>
      </w:r>
    </w:p>
    <w:p>
      <w:pPr>
        <w:pStyle w:val="Heading1"/>
        <w:keepNext/>
      </w:pPr>
      <w:r>
        <w:t>2. Alcance y exclusiones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Programa</w:t>
            </w:r>
          </w:p>
        </w:tc>
        <w:tc>
          <w:tcPr>
            <w:tcW w:type="dxa" w:w="756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UG2CG660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Simulación/cálculo con ADS-DIASCAL como variable legacy.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UG2CG670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Proceso con múltiples orígenes y propagaciones de DIASCAL.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UG2CG717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Proceso con WS-CALL-DIASCAL y excepción directa hacia FIN0.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UR1CCOT0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Cálculo de cuota con fórmula legacy y camino por factor/período.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UR8CCUO0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Variante de cálculo de cuota con condiciones legacy de factor.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UR8CCOT0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Variante de COT0 con cálculo por factor/período.</w:t>
            </w:r>
          </w:p>
        </w:tc>
      </w:tr>
    </w:tbl>
    <w:p>
      <w:pPr>
        <w:spacing w:after="20"/>
      </w:pPr>
    </w:p>
    <w:p>
      <w:r>
        <w:t>UR9CMLI0 y la parametría T37 se describen en un documento independiente; aquí se documenta su contrato de consumo.</w:t>
      </w:r>
    </w:p>
    <w:p>
      <w:pPr>
        <w:pStyle w:val="Heading1"/>
        <w:keepNext/>
      </w:pPr>
      <w:r>
        <w:t>3. Premisas funcionales y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Premisa</w:t>
            </w:r>
          </w:p>
        </w:tc>
        <w:tc>
          <w:tcPr>
            <w:tcW w:type="dxa" w:w="770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 funcional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La vigencia se valida exclusivamente con FESOLIC. El contrato utiliza MLI-FEC-SOLICITUD.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Retorno 00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La parametría aplica. El consumidor puede sustituir DIASCAL y usar los switches entregados por UR9CMLI0.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Retorno 30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 es error. Todos los switches MLI quedan en NO y el consumidor conserva el camino legacy.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Otros retornos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10/20/90 u otro se tratan como error del componente; no se continúa con metodología indeterminada.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de días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consumidor no deduce NA/CO desde DIASCAL para la lógica nueva; usa MLI-DIAS-NATURALES-SI o MLI-DIAS-COMERCIALES-SI cuando aplique.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Factor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consumidor no interpreta S/N; usa MLI-CALC-FACTOR-SI/NO.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Mínima afectación</w:t>
            </w:r>
          </w:p>
        </w:tc>
        <w:tc>
          <w:tcPr>
            <w:tcW w:type="dxa" w:w="77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Se preservan IF/EVALUATE y fórmulas legacy; los cambios se insertan en puntos de integración existentes.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Arquitectura de integración</w:t>
      </w:r>
    </w:p>
    <w:p>
      <w:pPr>
        <w:pStyle w:val="Heading2"/>
        <w:keepNext/>
      </w:pPr>
      <w:r>
        <w:t>4.1 Programas con datos ya cargados</w:t>
      </w:r>
    </w:p>
    <w:p>
      <w:r>
        <w:t>UG2CG660, UG2CG670 y UG2CG717 llaman directamente a UR9CMLI0 con la información disponible en su flujo. No agregan una lectura adicional de MAE únicamente para la metodología.</w:t>
      </w:r>
    </w:p>
    <w:p>
      <w:pPr>
        <w:pStyle w:val="CodeBlock"/>
        <w:keepLines/>
      </w:pPr>
      <w:r>
        <w:t>DATOS YA CARGADOS</w:t>
        <w:br/>
        <w:t xml:space="preserve">  |</w:t>
        <w:br/>
        <w:t xml:space="preserve">  +-- Tipo cartera</w:t>
        <w:br/>
        <w:t xml:space="preserve">  +-- FESOLIC</w:t>
        <w:br/>
        <w:t xml:space="preserve">  +-- Subproducto</w:t>
        <w:br/>
        <w:t xml:space="preserve">        |</w:t>
        <w:br/>
        <w:t xml:space="preserve">        v</w:t>
        <w:br/>
        <w:t xml:space="preserve">     UR9CMLI0</w:t>
        <w:br/>
        <w:t xml:space="preserve">        |</w:t>
        <w:br/>
        <w:t xml:space="preserve">        +-- 00 --&gt; aplicar MLI-DIASCAL sobre variable legacy</w:t>
        <w:br/>
        <w:t xml:space="preserve">        +-- 30 --&gt; mantener legacy</w:t>
        <w:br/>
        <w:t xml:space="preserve">        +-- otro --&gt; error</w:t>
      </w:r>
    </w:p>
    <w:p>
      <w:pPr>
        <w:pStyle w:val="Heading2"/>
        <w:keepNext/>
      </w:pPr>
      <w:r>
        <w:t>4.2 Rutinas de cuota</w:t>
      </w:r>
    </w:p>
    <w:p>
      <w:r>
        <w:t>UR1CCOT0, UR8CCUO0 y UR8CCOT0 ejecutan siempre 9000-VALIDAR-METODO-LIQ en el punto incorporado por el proyecto. Ya no se omite la consulta por el hecho de recibir DIASCAL = X. El objetivo es que UR9CMLI0 siga siendo la autoridad para vigencia, tipo de días y factor.</w:t>
      </w:r>
    </w:p>
    <w:p>
      <w:pPr>
        <w:pStyle w:val="CodeBlock"/>
        <w:keepLines/>
      </w:pPr>
      <w:r>
        <w:t>9000-VALIDAR-METODO-LIQ</w:t>
        <w:br/>
        <w:t xml:space="preserve">  |</w:t>
        <w:br/>
        <w:t xml:space="preserve">  +--&gt; 9010-OBTENER-DATOS-MAE (UG9C0MAE / S1)</w:t>
        <w:br/>
        <w:t xml:space="preserve">  |       +-- FESOLIC</w:t>
        <w:br/>
        <w:t xml:space="preserve">  |       +-- SUBPRO</w:t>
        <w:br/>
        <w:t xml:space="preserve">  |       +-- UGYEMCED / IND-MARCA4</w:t>
        <w:br/>
        <w:t xml:space="preserve">  |</w:t>
        <w:br/>
        <w:t xml:space="preserve">  +--&gt; 9020-VALIDAR-METODO-MLI (UR9CMLI0)</w:t>
        <w:br/>
        <w:t xml:space="preserve">          +-- 00 --&gt; DIASCAL + switches</w:t>
        <w:br/>
        <w:t xml:space="preserve">          +-- 30 --&gt; legacy / switches en NO</w:t>
        <w:br/>
        <w:t xml:space="preserve">          +-- otro --&gt; error</w:t>
      </w:r>
    </w:p>
    <w:p>
      <w:pPr>
        <w:pStyle w:val="Heading1"/>
        <w:keepNext/>
      </w:pPr>
      <w:r>
        <w:t>5. Resumen de impacto por componente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Programa</w:t>
            </w:r>
          </w:p>
        </w:tc>
        <w:tc>
          <w:tcPr>
            <w:tcW w:type="dxa" w:w="784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 actualizado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UG2CG660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Usa G66-FESOLIC convertida a YYYY-MM-DD; aplica MLI-DIASCAL a ADS-DIASCAL cuando retorno 00.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UG2CG670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Usa MAE-FESOLIC; mantiene switch de aplicabilidad y propaga MLI-DIASCAL a WS/ADS/IEN según el flujo legacy.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UG2CG717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SELECT de MAE incorpora FESOLIC; usa MAE-FESOLIC, reconoce Libranza por UGYEMCED y actualiza WS-CALL-DIASCAL.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UR1CCOT0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Siempre consulta MLI; usa directamente switches de días y factor; elimina switches locales y 9030.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UR8CCUO0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Siempre consulta MLI; agrega MLI-CALC-FACTOR-SI a las condiciones legacy de factor.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UR8CCOT0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Siempre consulta MLI; usa MLI-CALC-FACTOR-SI para seleccionar factor vs. fórmula legacy.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Detalle de ajustes por componente</w:t>
      </w:r>
    </w:p>
    <w:p>
      <w:pPr>
        <w:pStyle w:val="Heading2"/>
        <w:keepNext/>
      </w:pPr>
      <w:r>
        <w:t>6.1 UG2CG660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Punto de integración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Después de 2412-BUSCA-TIPCAR se ejecuta 24121-VALIDAR-METODO-LIQ.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Inicialización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INITIALIZE URWCMLI-REG y SW-NO-MLI-APLICA = TRUE antes de preparar la llamada.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cartera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PRO-INDEALER = S informa L; en otro caso usa COT-TIPO-CAR.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G66-FESOLIC se convierte con 9999921-FORMT-FECHA-DB2 y se mueve a MLI-FEC-SOLICITUD.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Subproducto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WS-SUBPRODUCTO.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Activa SW-SI-MLI-APLICA y luego mueve MLI-DIASCAL a ADS-DIASCAL.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Conserva SW-NO-MLI-APLICA y no modifica ADS-DIASCAL.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Error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UGE0939 / UR9CMLI0 / código de retorno y tratamiento de finalización existente.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UG2CG670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Punto de integración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En 2-PROCESO-PROGRAMA, después de 22-LEER-UMAE, se ejecuta 229-VALIDAR-METODO-LIQ.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cartera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 UGYEMCED = S informa L; en otro caso MAE-IND-MARCA4. Si la marca de cartera está vacía, usa el proceso existente de búsqueda.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MAE-FESOLIC se mueve directamente a MLI-FEC-SOLICITUD.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Subproducto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MAE-SUBPRO.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Propagación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 retorno 00, MLI-DIASCAL sustituye las variables legacy donde ya se consumía metodología: WS-DIASCAL, ADS-DIASCAL e IEN-DIASCAL según el flujo.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 altera las variables legacy.</w:t>
            </w:r>
          </w:p>
        </w:tc>
      </w:tr>
    </w:tbl>
    <w:p>
      <w:pPr>
        <w:spacing w:after="20"/>
      </w:pPr>
    </w:p>
    <w:p>
      <w:r>
        <w:t>El uso anterior de MAE-FECAPROBA para la llamada MLI queda eliminado. FECAPROBA puede seguir existiendo en otros procesos legacy del programa, pero no gobierna la vigencia de 365/360.</w:t>
      </w:r>
    </w:p>
    <w:p>
      <w:pPr>
        <w:pStyle w:val="Heading2"/>
        <w:keepNext/>
      </w:pPr>
      <w:r>
        <w:t>6.3 UG2CG717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Obtención de fecha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SELECT de UGDTMAE se amplía para recuperar FESOLIC en MAE-FESOLIC.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Punto de integración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Después de 220-VALIDACION-CREDITO se ejecuta 2201-VALIDAR-METODO-LIQ.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cartera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UGYEMCED = S informa L; en otro caso MAE-IND-MARCA4.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MAE-FESOLIC se mueve a MLI-FEC-SOLICITUD.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Variable central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 00, MLI-DIASCAL sustituye WS-CALL-DIASCAL.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Excepción FIN0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En 272-LLAMADA-UR8CFIN0 se conserva el MOVE original desde DRB-UGTDICAL y se prioriza MLI-DIASCAL cuando SW-SI-MLI-APLICA está activo.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Error</w:t>
            </w:r>
          </w:p>
        </w:tc>
        <w:tc>
          <w:tcPr>
            <w:tcW w:type="dxa" w:w="78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UGE0939, rollback y finalización con el tratamiento propio del programa.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UR1CCOT0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56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 actualizado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1-INICIO-PROGRAMA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Ejecuta siempre 9000-VALIDAR-METODO-LIQ. No interpreta COT-DIASCAL = X para saltarse MLI.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9000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Orquesta 9010 y 9020.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9010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INITIALIZE UGWC3MAE; opción S1; consulta UG9C0MAE con COT-ENTIOFI + COT-CUENTA.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9020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INITIALIZE URWCMLI; identifica Libranza por UGYEMCED; informa 0MAE-FESOLIC y 0MAE-SUBPRO; llama UR9CMLI0.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Mueve MLI-DIASCAL a COT-DIASCAL. No activa switches locales.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CONTINUE. Los switches MLI están en NO y se conserva el comportamiento legacy.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22-CALCULAR-CC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IF MLI-CALC-FACTOR-SI ejecuta 226-CAL-FACTOR; ELSE mantiene fórmula legacy.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221A-OBT-DIAS-PRIM-PER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Después de la lógica legacy, MLI-DIAS-NATURALES-SI fuerza NA y MLI-DIAS-COMERCIALES-SI fuerza CO. Si ambos están en NO, no se altera el resultado legacy.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9030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párrafo 9030-VALIDAR-TIPO-DIAS se elimina; la decisión queda centralizada en MLI.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UR8CCUO0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56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 actualizado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1-INICIO-PROGRAMA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Ejecuta siempre 9000-VALIDAR-METODO-LIQ.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9000 / 9010 / 9020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Mismo patrón modular: UG9C0MAE S1 y posterior UR9CMLI0 con 0MAE-FESOLIC.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Mueve MLI-DIASCAL a CO3-DIASCAL.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Continúa legacy; switches MLI en NO.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22-CALCULAR-CC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Conserva condiciones legacy de PERCAP/TIPODIAS y agrega OR MLI-CALC-FACTOR-SI.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Días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 se agrega switch local de días; el primer período ya utiliza tratamiento natural existente donde corresponde.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6.6 UR8CCOT0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56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 actualizado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1-INICIO-PROGRAMA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Ejecuta siempre 9000-VALIDAR-METODO-LIQ.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9000 / 9010 / 9020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UG9C0MAE S1 + UR9CMLI0 con 0MAE-FESOLIC.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Mueve MLI-DIASCAL a COT-DIASCAL.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Mantiene lógica legacy; switches MLI en NO.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22-CALCULAR-CC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IF MLI-CALC-FACTOR-SI ejecuta 226-CAL-FACTOR; ELSE conserva fórmula legacy.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Días</w:t>
            </w:r>
          </w:p>
        </w:tc>
        <w:tc>
          <w:tcPr>
            <w:tcW w:type="dxa" w:w="75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El primer período conserva el tratamiento natural ya existente; no se agrega interpretación local de DIASCAL para la nueva regla.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Mapeo de información hacia UR9CMLI0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58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Programa</w:t>
            </w:r>
          </w:p>
        </w:tc>
        <w:tc>
          <w:tcPr>
            <w:tcW w:type="dxa" w:w="230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 cartera</w:t>
            </w:r>
          </w:p>
        </w:tc>
        <w:tc>
          <w:tcPr>
            <w:tcW w:type="dxa" w:w="230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FESOLIC enviada</w:t>
            </w:r>
          </w:p>
        </w:tc>
        <w:tc>
          <w:tcPr>
            <w:tcW w:type="dxa" w:w="18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Subproducto</w:t>
            </w:r>
          </w:p>
        </w:tc>
        <w:tc>
          <w:tcPr>
            <w:tcW w:type="dxa" w:w="194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 efectiva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UG2CG660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COT-TIPO-CAR / L si PRO-INDEALER=S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G66-FESOLIC -&gt; WS-DATE-DB2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WS-SUBPRODUCTO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ADS-DIASCAL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UG2CG670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MAE-IND-MARCA4 / L si UGYEMCED=S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MAE-FESOLIC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MAE-SUBPRO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WS / ADS / IEN-DIASCAL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UG2CG717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MAE-IND-MARCA4 / L si UGYEMCED=S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MAE-FESOLIC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MAE-SUBPRO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WS-CALL-DIASCAL / FIN-DIASCAL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UR1CCOT0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0MAE-IND-MARCA4 / L si UGYEMCED=S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0MAE-FESOLIC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0MAE-SUBPRO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COT-DIASCAL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UR8CCUO0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0MAE-IND-MARCA4 / L si UGYEMCED=S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0MAE-FESOLIC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0MAE-SUBPRO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CO3-DIASCAL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UR8CCOT0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0MAE-IND-MARCA4 / L si UGYEMCED=S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0MAE-FESOLIC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0MAE-SUBPRO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COT-DIASCAL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vAlign w:val="center"/>
            <w:shd w:fill="EAF3F8"/>
            <w:tcBorders>
              <w:top w:val="single" w:sz="7" w:color="1464A5"/>
              <w:left w:val="single" w:sz="16" w:color="1464A5"/>
              <w:bottom w:val="single" w:sz="7" w:color="1464A5"/>
              <w:right w:val="single" w:sz="7" w:color="1464A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2146"/>
                <w:sz w:val="20"/>
              </w:rPr>
              <w:t>Regla de fecha</w:t>
              <w:br/>
            </w:r>
            <w:r>
              <w:rPr>
                <w:sz w:val="19"/>
              </w:rPr>
              <w:t>FECAPROBA ya no se utiliza como fecha de vigencia en ninguna llamada a UR9CMLI0 de las fuentes ajustadas. La fecha funcional es FESOLIC.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Manejo de retornos y switches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15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Retorno</w:t>
            </w:r>
          </w:p>
        </w:tc>
        <w:tc>
          <w:tcPr>
            <w:tcW w:type="dxa" w:w="381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Tratamiento consumidor</w:t>
            </w:r>
          </w:p>
        </w:tc>
        <w:tc>
          <w:tcPr>
            <w:tcW w:type="dxa" w:w="288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Switches MLI</w:t>
            </w:r>
          </w:p>
        </w:tc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00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Aplicar MLI-DIASCAL; usar 88 cuando el componente necesita días/factor.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Según parametría.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Metodología parametrizada.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No modificar metodología legacy.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Naturales NO / Comerciales NO / Factor NO.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Continúa legacy.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10 / 20 / 90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Propagar error y finalizar según estándar local.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Todos en NO.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No continúa cálculo indeterminado.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Estrategia de mínima afectación</w:t>
      </w:r>
    </w:p>
    <w:p>
      <w:pPr>
        <w:pStyle w:val="ListBullet"/>
        <w:spacing w:after="40"/>
      </w:pPr>
      <w:r>
        <w:t>Se mantienen las variables legacy como interfaces internas: ADS-DIASCAL, WS-DIASCAL, IEN-DIASCAL, WS-CALL-DIASCAL, COT-DIASCAL y CO3-DIASCAL.</w:t>
      </w:r>
    </w:p>
    <w:p>
      <w:pPr>
        <w:pStyle w:val="ListBullet"/>
        <w:spacing w:after="40"/>
      </w:pPr>
      <w:r>
        <w:t>No se reescriben fórmulas financieras existentes cuando MLI no aplica.</w:t>
      </w:r>
    </w:p>
    <w:p>
      <w:pPr>
        <w:pStyle w:val="ListBullet"/>
        <w:spacing w:after="40"/>
      </w:pPr>
      <w:r>
        <w:t>No se agregan reglas nuevas que deduzcan días o factor a partir de la letra DIASCAL.</w:t>
      </w:r>
    </w:p>
    <w:p>
      <w:pPr>
        <w:pStyle w:val="ListBullet"/>
        <w:spacing w:after="40"/>
      </w:pPr>
      <w:r>
        <w:t>En UR1CCOT0 se reutilizan directamente los 88 de URWCMLI y se elimina la duplicación de switches locales.</w:t>
      </w:r>
    </w:p>
    <w:p>
      <w:pPr>
        <w:pStyle w:val="ListBullet"/>
        <w:spacing w:after="40"/>
      </w:pPr>
      <w:r>
        <w:t>En UR8CCUO0 se conserva la condición legacy y MLI-CALC-FACTOR-SI se agrega como condición adicional.</w:t>
      </w:r>
    </w:p>
    <w:p>
      <w:pPr>
        <w:pStyle w:val="ListBullet"/>
        <w:spacing w:after="40"/>
      </w:pPr>
      <w:r>
        <w:t>Los cambios permanecen delimitados por *LJSM-I / *LJSM-J y los párrafos de integración se ubican al final físico cuando corresponde.</w:t>
      </w:r>
    </w:p>
    <w:p>
      <w:pPr>
        <w:pStyle w:val="Heading1"/>
        <w:keepNext/>
      </w:pPr>
      <w:r>
        <w:t>10. Dependencias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7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type="dxa" w:w="288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Programas</w:t>
            </w:r>
          </w:p>
        </w:tc>
        <w:tc>
          <w:tcPr>
            <w:tcW w:type="dxa" w:w="468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UR9CMLI0 / URWCMLI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Todos</w:t>
            </w:r>
          </w:p>
        </w:tc>
        <w:tc>
          <w:tcPr>
            <w:tcW w:type="dxa" w:w="46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Determinar metodología, vigencia y switches.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UG9C0MAE / UGWC3MAE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UR1CCOT0, UR8CCUO0, UR8CCOT0</w:t>
            </w:r>
          </w:p>
        </w:tc>
        <w:tc>
          <w:tcPr>
            <w:tcW w:type="dxa" w:w="46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Obtener FESOLIC, SUBPRO, UGYEMCED e IND-MARCA4 por contrato.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UR8CFCQ0 / 226-CAL-FACTOR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Rutinas de cuota</w:t>
            </w:r>
          </w:p>
        </w:tc>
        <w:tc>
          <w:tcPr>
            <w:tcW w:type="dxa" w:w="46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Cálculo por período cuando MLI-CALC-FACTOR-SI o condición legacy lo determine.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UR8CFIN0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Flujos financieros</w:t>
            </w:r>
          </w:p>
        </w:tc>
        <w:tc>
          <w:tcPr>
            <w:tcW w:type="dxa" w:w="46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Recibir DIASCAL y número de días determinados por el componente.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Rutinas de fechas</w:t>
            </w:r>
          </w:p>
        </w:tc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Flujos de cálculo de días</w:t>
            </w:r>
          </w:p>
        </w:tc>
        <w:tc>
          <w:tcPr>
            <w:tcW w:type="dxa" w:w="46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Obtener días naturales/comerciales según tratamiento efectivo.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Escenarios mínimos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24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669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Crédito anterior a vigencia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MLI retorna 30; switches en NO; resultados legacy sin variación.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Crédito nuevo 365/360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00; DIASCAL X; naturales SI; factor SI; base 360 en FIN0.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Parametría inactiva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30; todos los switches en NO; continúa legacy.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Parametría inexistente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10; el componente trata error y no continúa silenciosamente por legacy.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TIPO-DIAS = NA / CO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Los 88 de días reflejan exactamente la parametría sin deducir desde DIASCAL.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CALC-FACTOR = S / N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MLI-CALC-FACTOR-SI/NO refleja la parametría, independiente de la letra DIASCAL.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COT/CUO reciben DIASCAL X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Aun así ejecutan 9000; la decisión no se salta por la letra recibida.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FESOLIC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Validar que las seis fuentes consumidoras envían fecha de solicitud, no FECAPROBA/desembolso.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UG2CG717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Confirmar que el SELECT de MAE recupera FESOLIC correctamente.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28/29/30/31 días y bisiesto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Los días reales y factores son coherentes cuando TIPO-DIAS = NA.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Regresión</w:t>
            </w:r>
          </w:p>
        </w:tc>
        <w:tc>
          <w:tcPr>
            <w:tcW w:type="dxa" w:w="66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7"/>
              </w:rPr>
              <w:t>Operaciones fuera del alcance mantienen fórmulas y resultados históricos.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Trazabilidad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Programa</w:t>
            </w:r>
          </w:p>
        </w:tc>
        <w:tc>
          <w:tcPr>
            <w:tcW w:type="dxa" w:w="640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 principal</w:t>
            </w:r>
          </w:p>
        </w:tc>
        <w:tc>
          <w:tcPr>
            <w:tcW w:type="dxa" w:w="172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UG2CG660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24121-VALIDAR-METODO-LIQ; llamada después de 2412-BUSCA-TIPCAR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UG2CG670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229-VALIDAR-METODO-LIQ; llamada después de 22-LEER-UMAE; propagaciones WS/ADS/IEN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UG2CG717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2201-VALIDAR-METODO-LIQ; SELECT MAE con FESOLIC; excepción 272-FIN0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UR1CCOT0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9000/9010/9020; 1-INICIO; 22-CALCULAR-CC; 221A-OBT-DIAS-PRIM-PER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UR8CCUO0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9000/9010/9020; 1-INICIO; 22-CALCULAR-CC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UR8CCOT0</w:t>
            </w:r>
          </w:p>
        </w:tc>
        <w:tc>
          <w:tcPr>
            <w:tcW w:type="dxa" w:w="64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9000/9010/9020; 1-INICIO; 22-CALCULAR-CC</w:t>
            </w:r>
          </w:p>
        </w:tc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6"/>
              </w:rPr>
              <w:t>*LJSM-I / *LJSM-J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Estado de las decisiones anteriores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8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705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actualizado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 de vigencia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Cerrado: FESOLIC en todos los consumidores.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Nombre del contrato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Cerrado: MLI-FEC-SOLICITUD reemplaza MLI-FEC-DESEMBOLSO.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Días natural/comercial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Centralizado: switches 88 devueltos por UR9CMLI0.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Cálculo por factor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Centralizado: MLI-CALC-FACTOR-SI/NO.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Retorno 30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Cerrado: no es error y todos los switches quedan explícitamente en NO.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DIASCAL = X en entrada</w:t>
            </w:r>
          </w:p>
        </w:tc>
        <w:tc>
          <w:tcPr>
            <w:tcW w:type="dxa" w:w="70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Ya no evita la llamada MLI en COT/CUO/COT8.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Consideraciones pendientes</w:t>
      </w:r>
    </w:p>
    <w:p>
      <w:pPr>
        <w:spacing w:after="40"/>
        <w:ind w:left="403" w:hanging="403"/>
      </w:pPr>
      <w:r>
        <w:rPr>
          <w:sz w:val="21"/>
        </w:rPr>
        <w:t>1.  Compilar cada componente con el COPY URWCMLI actualizado y validar los nombres de 88 disponibles en la librería de compilación.</w:t>
      </w:r>
    </w:p>
    <w:p>
      <w:pPr>
        <w:spacing w:after="40"/>
        <w:ind w:left="403" w:hanging="403"/>
      </w:pPr>
      <w:r>
        <w:rPr>
          <w:sz w:val="21"/>
        </w:rPr>
        <w:t>2.  Validar el spool DB2/COBOL de UG2CG717 por la ampliación del SELECT de UGDTMAE con FESOLIC.</w:t>
      </w:r>
    </w:p>
    <w:p>
      <w:pPr>
        <w:spacing w:after="40"/>
        <w:ind w:left="403" w:hanging="403"/>
      </w:pPr>
      <w:r>
        <w:rPr>
          <w:sz w:val="21"/>
        </w:rPr>
        <w:t>3.  Homologar en UR9CMLI0 la constante de sección de metodología con el valor definitivo 0365 antes de instalación.</w:t>
      </w:r>
    </w:p>
    <w:p>
      <w:pPr>
        <w:spacing w:after="40"/>
        <w:ind w:left="403" w:hanging="403"/>
      </w:pPr>
      <w:r>
        <w:rPr>
          <w:sz w:val="21"/>
        </w:rPr>
        <w:t>4.  Ejecutar regresión completa de los caminos legacy y pruebas específicas de switches parametrizados.</w:t>
      </w:r>
    </w:p>
    <w:p>
      <w:pPr>
        <w:pStyle w:val="Heading1"/>
        <w:keepNext/>
      </w:pPr>
      <w:r>
        <w:t>15. Secuencia recomendada de instalación</w:t>
      </w:r>
    </w:p>
    <w:p>
      <w:pPr>
        <w:spacing w:after="40"/>
        <w:ind w:left="403" w:hanging="403"/>
      </w:pPr>
      <w:r>
        <w:rPr>
          <w:sz w:val="21"/>
        </w:rPr>
        <w:t>1.  Instalar primero URWCMLI actualizado y UR9CMLI0 con parametría definitiva.</w:t>
      </w:r>
    </w:p>
    <w:p>
      <w:pPr>
        <w:spacing w:after="40"/>
        <w:ind w:left="403" w:hanging="403"/>
      </w:pPr>
      <w:r>
        <w:rPr>
          <w:sz w:val="21"/>
        </w:rPr>
        <w:t>2.  Instalar los consumidores de acuerdo con la estrategia de MVP y dependencias de compilación.</w:t>
      </w:r>
    </w:p>
    <w:p>
      <w:pPr>
        <w:spacing w:after="40"/>
        <w:ind w:left="403" w:hanging="403"/>
      </w:pPr>
      <w:r>
        <w:rPr>
          <w:sz w:val="21"/>
        </w:rPr>
        <w:t>3.  Validar FESOLIC y retorno 00/30 en ambiente de pruebas antes de habilitar la vigencia.</w:t>
      </w:r>
    </w:p>
    <w:p>
      <w:pPr>
        <w:spacing w:after="40"/>
        <w:ind w:left="403" w:hanging="403"/>
      </w:pPr>
      <w:r>
        <w:rPr>
          <w:sz w:val="21"/>
        </w:rPr>
        <w:t>4.  Ejecutar escenarios E2E, regresión legacy y conciliación de cuota/interés.</w:t>
      </w:r>
    </w:p>
    <w:p>
      <w:pPr>
        <w:spacing w:after="40"/>
        <w:ind w:left="403" w:hanging="403"/>
      </w:pPr>
      <w:r>
        <w:rPr>
          <w:sz w:val="21"/>
        </w:rPr>
        <w:t>5.  Monitorear retornos 10/20/90 y diferencias de cálculo durante estabilización.</w:t>
      </w:r>
    </w:p>
    <w:p>
      <w:pPr>
        <w:pStyle w:val="Heading1"/>
        <w:keepNext/>
      </w:pPr>
      <w:r>
        <w:t>16. Conclusión técnica</w:t>
      </w:r>
    </w:p>
    <w:p>
      <w:r>
        <w:t>El diseño actualizado concentra la decisión funcional en parametría + UR9CMLI0 y reduce el conocimiento distribuido en los consumidores. FESOLIC es la única fecha de vigencia; los programas de cuota consumen switches estables para tipo de días y cálculo por factor; y el retorno 30 deja todos esos switches en NO para preservar el comportamiento legacy. La solución mantiene las interfaces financieras existentes y limita los cambios a puntos controlados de integración.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Ajustes componentes 365/360 - Diseño Técnico   |   </w:t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21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4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21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21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  <w:shd w:fill="F5F7F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