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2DCCCD"/>
          <w:sz w:val="18"/>
        </w:rPr>
        <w:t>DISEÑO TÉCNICO</w:t>
      </w:r>
    </w:p>
    <w:p>
      <w:pPr>
        <w:spacing w:after="160"/>
      </w:pPr>
      <w:r>
        <w:rPr>
          <w:rFonts w:ascii="Aptos Display" w:hAnsi="Aptos Display"/>
          <w:b/>
          <w:color w:val="072146"/>
          <w:sz w:val="48"/>
        </w:rPr>
        <w:t>UR9CMLI0 - Determinación de metodología de liquidación</w:t>
      </w:r>
    </w:p>
    <w:p>
      <w:pPr>
        <w:spacing w:after="240"/>
      </w:pPr>
      <w:r>
        <w:rPr>
          <w:color w:val="666666"/>
          <w:sz w:val="24"/>
        </w:rPr>
        <w:t>Versión actualizada al contrato URWCMLI V3 y uso de FESOLIC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376"/>
            <w:shd w:fill="EAF3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rPr>
                <w:b/>
                <w:color w:val="072146"/>
              </w:rPr>
              <w:t>Tipo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t>Rutina batch COBOL/DB2</w:t>
            </w:r>
          </w:p>
        </w:tc>
      </w:tr>
      <w:tr>
        <w:trPr>
          <w:cantSplit/>
        </w:trPr>
        <w:tc>
          <w:tcPr>
            <w:tcW w:type="dxa" w:w="2376"/>
            <w:shd w:fill="EAF3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rPr>
                <w:b/>
                <w:color w:val="072146"/>
              </w:rPr>
              <w:t>Contrato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t>URWCMLI V3</w:t>
            </w:r>
          </w:p>
        </w:tc>
      </w:tr>
      <w:tr>
        <w:trPr>
          <w:cantSplit/>
        </w:trPr>
        <w:tc>
          <w:tcPr>
            <w:tcW w:type="dxa" w:w="2376"/>
            <w:shd w:fill="EAF3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rPr>
                <w:b/>
                <w:color w:val="072146"/>
              </w:rPr>
              <w:t>Proyecto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t>Liquidación de intereses 365/360 - Consumo, Vehículo y Libranza</w:t>
            </w:r>
          </w:p>
        </w:tc>
      </w:tr>
      <w:tr>
        <w:trPr>
          <w:cantSplit/>
        </w:trPr>
        <w:tc>
          <w:tcPr>
            <w:tcW w:type="dxa" w:w="2376"/>
            <w:shd w:fill="EAF3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rPr>
                <w:b/>
                <w:color w:val="072146"/>
              </w:rPr>
              <w:t>Fecha actualización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t>05/10/2026</w:t>
            </w:r>
          </w:p>
        </w:tc>
      </w:tr>
      <w:tr>
        <w:trPr>
          <w:cantSplit/>
        </w:trPr>
        <w:tc>
          <w:tcPr>
            <w:tcW w:type="dxa" w:w="2376"/>
            <w:shd w:fill="EAF3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rPr>
                <w:b/>
                <w:color w:val="072146"/>
              </w:rPr>
              <w:t>Estado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B7C9D6"/>
            </w:tcBorders>
          </w:tcPr>
          <w:p>
            <w:r>
              <w:t>Candidata a compilación según revisión estática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Objetivo</w:t>
      </w:r>
    </w:p>
    <w:p>
      <w:r>
        <w:t>Crear una rutina batch COBOL/DB2 que determine la metodología de liquidación aplicable a una operación de crédito a partir del tipo de cartera, subproducto y FESOLIC (fecha de solicitud). La rutina centraliza la clasificación funcional del producto, la consulta de parametría y la traducción del comportamiento parametrizado a switches de salida, evitando que los componentes consumidores interpreten letras o relaciones internas de la metodología.</w:t>
      </w:r>
    </w:p>
    <w:p>
      <w:r>
        <w:t>UR9CMLI0 no calcula cuota ni intereses. Su responsabilidad es determinar el comportamiento aplicable y devolver un contrato estable para los programas consumidores.</w:t>
      </w:r>
    </w:p>
    <w:p>
      <w:pPr>
        <w:pStyle w:val="Heading1"/>
        <w:keepNext/>
      </w:pPr>
      <w:r>
        <w:t>2. Componentes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80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52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616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Nuevo programa</w:t>
            </w:r>
          </w:p>
        </w:tc>
        <w:tc>
          <w:tcPr>
            <w:tcW w:type="dxa" w:w="25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UR9CMLI0</w:t>
            </w:r>
          </w:p>
        </w:tc>
        <w:tc>
          <w:tcPr>
            <w:tcW w:type="dxa" w:w="56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Determina producto lógico, consulta parametría y devuelve metodología/switches.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COPY</w:t>
            </w:r>
          </w:p>
        </w:tc>
        <w:tc>
          <w:tcPr>
            <w:tcW w:type="dxa" w:w="25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URWCMLI V3</w:t>
            </w:r>
          </w:p>
        </w:tc>
        <w:tc>
          <w:tcPr>
            <w:tcW w:type="dxa" w:w="56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Contrato de entrada/salida de la rutina.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Tabla</w:t>
            </w:r>
          </w:p>
        </w:tc>
        <w:tc>
          <w:tcPr>
            <w:tcW w:type="dxa" w:w="25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UGDTT37</w:t>
            </w:r>
          </w:p>
        </w:tc>
        <w:tc>
          <w:tcPr>
            <w:tcW w:type="dxa" w:w="56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Clasificación auxiliar y parametría de metodología.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Tipo de programa</w:t>
      </w:r>
    </w:p>
    <w:p>
      <w:pPr>
        <w:pStyle w:val="ListBullet"/>
        <w:spacing w:after="40"/>
      </w:pPr>
      <w:r>
        <w:t>Rutina batch DB2; no utiliza CICS ni DFHCOMMAREA.</w:t>
      </w:r>
    </w:p>
    <w:p>
      <w:pPr>
        <w:pStyle w:val="ListBullet"/>
        <w:spacing w:after="40"/>
      </w:pPr>
      <w:r>
        <w:t>Utiliza PROCEDURE DIVISION USING LK-URWCMLI y finaliza con GOBACK.</w:t>
      </w:r>
    </w:p>
    <w:p>
      <w:pPr>
        <w:pStyle w:val="ListBullet"/>
        <w:spacing w:after="40"/>
      </w:pPr>
      <w:r>
        <w:t>Accede directamente a UGDTT37 mediante EXEC SQL.</w:t>
      </w:r>
    </w:p>
    <w:p>
      <w:pPr>
        <w:pStyle w:val="ListBullet"/>
        <w:spacing w:after="40"/>
      </w:pPr>
      <w:r>
        <w:t>Las consultas incluyen FETCH FIRST 1 ROW ONLY.</w:t>
      </w:r>
    </w:p>
    <w:p>
      <w:pPr>
        <w:pStyle w:val="ListBullet"/>
        <w:spacing w:after="40"/>
      </w:pPr>
      <w:r>
        <w:t>No utiliza INITIALIZE dentro de UR9CMLI0; las áreas se preparan con MOVE/SET explícitos.</w:t>
      </w:r>
    </w:p>
    <w:p>
      <w:pPr>
        <w:pStyle w:val="ListBullet"/>
        <w:spacing w:after="40"/>
      </w:pPr>
      <w:r>
        <w:t>En la fuente V3 los operandos TO de MOVE y SET se mantienen alineados como estándar de legibilidad.</w:t>
      </w:r>
    </w:p>
    <w:p>
      <w:pPr>
        <w:pStyle w:val="Heading1"/>
        <w:keepNext/>
      </w:pPr>
      <w:r>
        <w:t>4. Entradas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16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296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472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MLI-TIPO-CARTERA</w:t>
            </w:r>
          </w:p>
        </w:tc>
        <w:tc>
          <w:tcPr>
            <w:tcW w:type="dxa" w:w="12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X(1)</w:t>
            </w:r>
          </w:p>
        </w:tc>
        <w:tc>
          <w:tcPr>
            <w:tcW w:type="dxa" w:w="54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Tipo de cartera de la operación.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MLI-FEC-SOLICITUD</w:t>
            </w:r>
          </w:p>
        </w:tc>
        <w:tc>
          <w:tcPr>
            <w:tcW w:type="dxa" w:w="12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X(10)</w:t>
            </w:r>
          </w:p>
        </w:tc>
        <w:tc>
          <w:tcPr>
            <w:tcW w:type="dxa" w:w="54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FESOLIC en formato YYYY-MM-DD. Es la fecha funcional usada para validar vigencia.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MLI-SUBPRODUCTO</w:t>
            </w:r>
          </w:p>
        </w:tc>
        <w:tc>
          <w:tcPr>
            <w:tcW w:type="dxa" w:w="12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X(4)</w:t>
            </w:r>
          </w:p>
        </w:tc>
        <w:tc>
          <w:tcPr>
            <w:tcW w:type="dxa" w:w="54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Código de subproducto.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72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20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</w:t>
            </w:r>
          </w:p>
        </w:tc>
        <w:tc>
          <w:tcPr>
            <w:tcW w:type="dxa" w:w="82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Consumo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82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Comercio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H</w:t>
            </w:r>
          </w:p>
        </w:tc>
        <w:tc>
          <w:tcPr>
            <w:tcW w:type="dxa" w:w="82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Hipotecario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L</w:t>
            </w:r>
          </w:p>
        </w:tc>
        <w:tc>
          <w:tcPr>
            <w:tcW w:type="dxa" w:w="82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Libranza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Clasificación de producto lógico</w:t>
      </w:r>
    </w:p>
    <w:p>
      <w:r>
        <w:t>La rutina transforma el tipo de cartera recibido en un producto lógico que se usa para consultar la parametría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152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Cartera</w:t>
            </w:r>
          </w:p>
        </w:tc>
        <w:tc>
          <w:tcPr>
            <w:tcW w:type="dxa" w:w="612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type="dxa" w:w="2664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Producto lógico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61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Clasificación directa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COMERCIO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L</w:t>
            </w:r>
          </w:p>
        </w:tc>
        <w:tc>
          <w:tcPr>
            <w:tcW w:type="dxa" w:w="61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Clasificación directa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LIBRANZA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H</w:t>
            </w:r>
          </w:p>
        </w:tc>
        <w:tc>
          <w:tcPr>
            <w:tcW w:type="dxa" w:w="61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Consulta sección 1250 por subproducto: encontrado = leasing; no encontrado = hipotecario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LEASING-HAB / HIPOTECARIO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</w:t>
            </w:r>
          </w:p>
        </w:tc>
        <w:tc>
          <w:tcPr>
            <w:tcW w:type="dxa" w:w="61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Consulta sección 9040 por subproducto: encontrado = vehículo; no encontrado = consumo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VEHICULO / CONSUMO</w:t>
            </w:r>
          </w:p>
        </w:tc>
      </w:tr>
    </w:tbl>
    <w:p>
      <w:pPr>
        <w:spacing w:after="20"/>
      </w:pPr>
    </w:p>
    <w:p>
      <w:r>
        <w:t>Un tipo de cartera diferente de N/C/H/L retorna código 20. Un error DB2 durante la clasificación retorna 90.</w:t>
      </w:r>
    </w:p>
    <w:p>
      <w:pPr>
        <w:pStyle w:val="Heading1"/>
        <w:keepNext/>
      </w:pPr>
      <w:r>
        <w:t>6. Parametría de metodología</w:t>
      </w:r>
    </w:p>
    <w:p>
      <w:r>
        <w:t>El diseño funcional acordado utiliza la sección 0365 de UGDTT37, con ELEMENTO igual al producto lógico y RESTO como registro delimitado por punto y coma.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vAlign w:val="center"/>
            <w:shd w:fill="FFF4CC"/>
            <w:tcBorders>
              <w:top w:val="single" w:sz="7" w:color="E0B200"/>
              <w:left w:val="single" w:sz="16" w:color="E0B200"/>
              <w:bottom w:val="single" w:sz="7" w:color="E0B200"/>
              <w:right w:val="single" w:sz="7" w:color="E0B20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72146"/>
                <w:sz w:val="20"/>
              </w:rPr>
              <w:t>Control de consistencia fuente/diseño</w:t>
              <w:br/>
            </w:r>
            <w:r>
              <w:rPr>
                <w:sz w:val="19"/>
              </w:rPr>
              <w:t>La fuente UR9CMLI0 V3 revisada aún conserva CTE-SECC-METODO = 'XXXX'. Antes de compilar/instalar debe homologarse ese valor con la sección definitiva 0365.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Descriptor de la sección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44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SECCION</w:t>
            </w:r>
          </w:p>
        </w:tc>
        <w:tc>
          <w:tcPr>
            <w:tcW w:type="dxa" w:w="4032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464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0001</w:t>
            </w:r>
          </w:p>
        </w:tc>
        <w:tc>
          <w:tcPr>
            <w:tcW w:type="dxa" w:w="40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0000000000000000000365</w:t>
            </w:r>
          </w:p>
        </w:tc>
        <w:tc>
          <w:tcPr>
            <w:tcW w:type="dxa" w:w="44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PARAMETRIA METODO LIQUIDACION INTERESES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Filas de parametría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44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SECCION</w:t>
            </w:r>
          </w:p>
        </w:tc>
        <w:tc>
          <w:tcPr>
            <w:tcW w:type="dxa" w:w="2592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904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0365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CONSUMO</w:t>
            </w:r>
          </w:p>
        </w:tc>
        <w:tc>
          <w:tcPr>
            <w:tcW w:type="dxa" w:w="59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2027-01-01;X;365/360;NA;S;S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0365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VEHICULO</w:t>
            </w:r>
          </w:p>
        </w:tc>
        <w:tc>
          <w:tcPr>
            <w:tcW w:type="dxa" w:w="59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2027-01-01;X;365/360;NA;S;S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0365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LIBRANZA</w:t>
            </w:r>
          </w:p>
        </w:tc>
        <w:tc>
          <w:tcPr>
            <w:tcW w:type="dxa" w:w="59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2027-01-01;X;365/360;NA;S;S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Estructura de RESTO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936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Posición</w:t>
            </w:r>
          </w:p>
        </w:tc>
        <w:tc>
          <w:tcPr>
            <w:tcW w:type="dxa" w:w="180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80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Ejemplo</w:t>
            </w:r>
          </w:p>
        </w:tc>
        <w:tc>
          <w:tcPr>
            <w:tcW w:type="dxa" w:w="540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Fecha inicio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2027-01-01</w:t>
            </w:r>
          </w:p>
        </w:tc>
        <w:tc>
          <w:tcPr>
            <w:tcW w:type="dxa" w:w="54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Fecha desde la cual puede aplicar la parametría.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DIASCAL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X</w:t>
            </w:r>
          </w:p>
        </w:tc>
        <w:tc>
          <w:tcPr>
            <w:tcW w:type="dxa" w:w="54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Código técnico que se propaga a las rutinas financieras.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Método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365/360</w:t>
            </w:r>
          </w:p>
        </w:tc>
        <w:tc>
          <w:tcPr>
            <w:tcW w:type="dxa" w:w="54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Descripción informativa.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Tipo de días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NA</w:t>
            </w:r>
          </w:p>
        </w:tc>
        <w:tc>
          <w:tcPr>
            <w:tcW w:type="dxa" w:w="54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NA = naturales; CO = comerciales.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Cálculo factor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</w:t>
            </w:r>
          </w:p>
        </w:tc>
        <w:tc>
          <w:tcPr>
            <w:tcW w:type="dxa" w:w="54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S/N indica si debe utilizarse el camino por factor/período.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Activo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</w:t>
            </w:r>
          </w:p>
        </w:tc>
        <w:tc>
          <w:tcPr>
            <w:tcW w:type="dxa" w:w="54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S/N indica si la parametría está activa.</w:t>
            </w:r>
          </w:p>
        </w:tc>
      </w:tr>
    </w:tbl>
    <w:p>
      <w:pPr>
        <w:spacing w:after="20"/>
      </w:pPr>
    </w:p>
    <w:p>
      <w:pPr>
        <w:pStyle w:val="CodeBlock"/>
        <w:keepLines/>
      </w:pPr>
      <w:r>
        <w:t>YYYY-MM-DD;DIASCAL;METODO;TIPO-DIAS;CALC-FACTOR;ACTIVO</w:t>
        <w:br/>
        <w:t>2027-01-01;X;365/360;NA;S;S</w:t>
      </w:r>
    </w:p>
    <w:p>
      <w:r>
        <w:t>La rutina usa UNSTRING ... DELIMITED BY ';' y exige exactamente seis campos.</w:t>
      </w:r>
    </w:p>
    <w:p>
      <w:pPr>
        <w:pStyle w:val="Heading1"/>
        <w:keepNext/>
      </w:pPr>
      <w:r>
        <w:t>7. Separación entre DIASCAL y comportamiento</w:t>
      </w:r>
    </w:p>
    <w:p>
      <w:r>
        <w:t>DIASCAL se conserva como código técnico de interoperabilidad con las rutinas financieras existentes. Sin embargo, UR9CMLI0 ya no deduce desde DIASCAL si los días son naturales/comerciales ni si debe utilizarse cálculo por factor. Esas dos decisiones vienen explícitamente en la parametría.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8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024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496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Salida al consumidor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Metodología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DIASCAL parametrizado</w:t>
            </w:r>
          </w:p>
        </w:tc>
        <w:tc>
          <w:tcPr>
            <w:tcW w:type="dxa" w:w="49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MLI-DIASCAL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Tratamiento de días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TIPO-DIAS parametrizado</w:t>
            </w:r>
          </w:p>
        </w:tc>
        <w:tc>
          <w:tcPr>
            <w:tcW w:type="dxa" w:w="49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MLI-DIAS-NATURALES-SI/NO y MLI-DIAS-COMERCIALES-SI/NO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Camino de cálculo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CALC-FACTOR parametrizado</w:t>
            </w:r>
          </w:p>
        </w:tc>
        <w:tc>
          <w:tcPr>
            <w:tcW w:type="dxa" w:w="49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MLI-CALC-FACTOR-SI/NO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vAlign w:val="center"/>
            <w:shd w:fill="EAF3F8"/>
            <w:tcBorders>
              <w:top w:val="single" w:sz="7" w:color="1464A5"/>
              <w:left w:val="single" w:sz="16" w:color="1464A5"/>
              <w:bottom w:val="single" w:sz="7" w:color="1464A5"/>
              <w:right w:val="single" w:sz="7" w:color="1464A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72146"/>
                <w:sz w:val="20"/>
              </w:rPr>
              <w:t>Principio de encapsulamiento</w:t>
              <w:br/>
            </w:r>
            <w:r>
              <w:rPr>
                <w:sz w:val="19"/>
              </w:rPr>
              <w:t>Los programas consumidores no deben interpretar X, NA, CO o S/N para decidir el comportamiento nuevo. Deben consumir los 88-level switches entregados por URWCMLI.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Validaciones y reglas de vigencia</w:t>
      </w:r>
    </w:p>
    <w:p>
      <w:pPr>
        <w:spacing w:after="40"/>
        <w:ind w:left="403" w:hanging="403"/>
      </w:pPr>
      <w:r>
        <w:rPr>
          <w:sz w:val="21"/>
        </w:rPr>
        <w:t>1.  MLI-TIPO-CARTERA, MLI-FEC-SOLICITUD y MLI-SUBPRODUCTO deben venir informados.</w:t>
      </w:r>
    </w:p>
    <w:p>
      <w:pPr>
        <w:spacing w:after="40"/>
        <w:ind w:left="403" w:hanging="403"/>
      </w:pPr>
      <w:r>
        <w:rPr>
          <w:sz w:val="21"/>
        </w:rPr>
        <w:t>2.  El tipo de cartera debe pertenecer a N/C/H/L.</w:t>
      </w:r>
    </w:p>
    <w:p>
      <w:pPr>
        <w:spacing w:after="40"/>
        <w:ind w:left="403" w:hanging="403"/>
      </w:pPr>
      <w:r>
        <w:rPr>
          <w:sz w:val="21"/>
        </w:rPr>
        <w:t>3.  Debe existir la fila de parametría del producto lógico; si no existe retorna 10.</w:t>
      </w:r>
    </w:p>
    <w:p>
      <w:pPr>
        <w:spacing w:after="40"/>
        <w:ind w:left="403" w:hanging="403"/>
      </w:pPr>
      <w:r>
        <w:rPr>
          <w:sz w:val="21"/>
        </w:rPr>
        <w:t>4.  RESTO debe contener exactamente seis campos.</w:t>
      </w:r>
    </w:p>
    <w:p>
      <w:pPr>
        <w:spacing w:after="40"/>
        <w:ind w:left="403" w:hanging="403"/>
      </w:pPr>
      <w:r>
        <w:rPr>
          <w:sz w:val="21"/>
        </w:rPr>
        <w:t>5.  DIASCAL debe pertenecer actualmente a N/C/X/P.</w:t>
      </w:r>
    </w:p>
    <w:p>
      <w:pPr>
        <w:spacing w:after="40"/>
        <w:ind w:left="403" w:hanging="403"/>
      </w:pPr>
      <w:r>
        <w:rPr>
          <w:sz w:val="21"/>
        </w:rPr>
        <w:t>6.  TIPO-DIAS debe ser NA o CO.</w:t>
      </w:r>
    </w:p>
    <w:p>
      <w:pPr>
        <w:spacing w:after="40"/>
        <w:ind w:left="403" w:hanging="403"/>
      </w:pPr>
      <w:r>
        <w:rPr>
          <w:sz w:val="21"/>
        </w:rPr>
        <w:t>7.  CALC-FACTOR debe ser S o N.</w:t>
      </w:r>
    </w:p>
    <w:p>
      <w:pPr>
        <w:spacing w:after="40"/>
        <w:ind w:left="403" w:hanging="403"/>
      </w:pPr>
      <w:r>
        <w:rPr>
          <w:sz w:val="21"/>
        </w:rPr>
        <w:t>8.  ACTIVO debe ser S o N.</w:t>
      </w:r>
    </w:p>
    <w:p>
      <w:pPr>
        <w:spacing w:after="40"/>
        <w:ind w:left="403" w:hanging="403"/>
      </w:pPr>
      <w:r>
        <w:rPr>
          <w:sz w:val="21"/>
        </w:rPr>
        <w:t>9.  Para aplicar, ACTIVO debe ser S y MLI-FEC-SOLICITUD debe ser mayor o igual a la fecha de inicio.</w:t>
      </w:r>
    </w:p>
    <w:p>
      <w:r>
        <w:t>Las fechas se comparan como PIC X(10) porque ambas utilizan el formato ordenable YYYY-MM-DD.</w:t>
      </w:r>
    </w:p>
    <w:p>
      <w:pPr>
        <w:pStyle w:val="Heading1"/>
        <w:keepNext/>
      </w:pPr>
      <w:r>
        <w:t>9. Códigos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00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6336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2592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 de switches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00</w:t>
            </w:r>
          </w:p>
        </w:tc>
        <w:tc>
          <w:tcPr>
            <w:tcW w:type="dxa" w:w="63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La parametría aplica a la operación.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Se activan según TIPO-DIAS y CALC-FACTOR.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63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No existe parametría del producto en la sección de metodología.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Todos quedan en NO.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63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Dato o configuración inválida.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Todos quedan en NO.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63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La parametría existe pero no aplica por inactividad o FESOLIC anterior a vigencia.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Todos quedan en NO.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63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Error DB2.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Todos quedan en NO.</w:t>
            </w:r>
          </w:p>
        </w:tc>
      </w:tr>
    </w:tbl>
    <w:p>
      <w:pPr>
        <w:spacing w:after="20"/>
      </w:pPr>
    </w:p>
    <w:p>
      <w:r>
        <w:t>El retorno 30 no es error técnico. El consumidor debe mantener su lógica legacy. El retorno 10 permanece diferenciado para detectar ausencia de una parametría obligatoria.</w:t>
      </w:r>
    </w:p>
    <w:p>
      <w:pPr>
        <w:pStyle w:val="Heading1"/>
        <w:keepNext/>
      </w:pPr>
      <w:r>
        <w:t>10. Contrato de switches de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460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 / 88</w:t>
            </w:r>
          </w:p>
        </w:tc>
        <w:tc>
          <w:tcPr>
            <w:tcW w:type="dxa" w:w="532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MLI-DIAS-NATURALES-SI / NO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Indica si el tratamiento de fechas debe ser natural.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MLI-DIAS-COMERCIALES-SI / NO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Indica si el tratamiento de fechas debe ser comercial.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MLI-CALC-FACTOR-SI / NO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Indica si el componente debe usar cálculo por factor/período.</w:t>
            </w:r>
          </w:p>
        </w:tc>
      </w:tr>
    </w:tbl>
    <w:p>
      <w:pPr>
        <w:spacing w:after="20"/>
      </w:pPr>
    </w:p>
    <w:p>
      <w:r>
        <w:t>Al iniciar la rutina los tres switches se colocan explícitamente en NO. Antes de retornar cualquier código distinto de 00 se ejecuta 1050-DESACTIVAR-SWITCHES, garantizando un estado determinístico.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3168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2232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Naturales</w:t>
            </w:r>
          </w:p>
        </w:tc>
        <w:tc>
          <w:tcPr>
            <w:tcW w:type="dxa" w:w="2232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Comerciales</w:t>
            </w:r>
          </w:p>
        </w:tc>
        <w:tc>
          <w:tcPr>
            <w:tcW w:type="dxa" w:w="2232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Factor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00 + NA + S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SI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SI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00 + CO + N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SI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10 / 20 / 90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Manejo de SQLCODE</w:t>
      </w:r>
    </w:p>
    <w:p>
      <w:r>
        <w:t>El párrafo 2400-CONSULTAR-T37 centraliza el acceso a UGDTT37: SQLCODE 0 = encontrado, +100 = no encontrado y cualquier otro valor = error SQL. Para las secciones 1250 y 9040, +100 forma parte de la clasificación funcional; para la sección de metodología, +100 retorna 10. Los errores DB2 retornan 90 e informan sección y SQLCODE.</w:t>
      </w:r>
    </w:p>
    <w:p>
      <w:pPr>
        <w:pStyle w:val="Heading1"/>
        <w:keepNext/>
      </w:pPr>
      <w:r>
        <w:t>12. Salidas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816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120"/>
            <w:shd w:fill="0721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72146"/>
              <w:left w:val="single" w:sz="4" w:color="072146"/>
              <w:bottom w:val="single" w:sz="4" w:color="072146"/>
              <w:right w:val="single" w:sz="4" w:color="07214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MLI-PRODUCTO-LOGICO</w:t>
            </w:r>
          </w:p>
        </w:tc>
        <w:tc>
          <w:tcPr>
            <w:tcW w:type="dxa" w:w="61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Producto lógico determinado por la rutina.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MLI-FEC-INICIO</w:t>
            </w:r>
          </w:p>
        </w:tc>
        <w:tc>
          <w:tcPr>
            <w:tcW w:type="dxa" w:w="61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Fecha de inicio parametrizada.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MLI-DIASCAL</w:t>
            </w:r>
          </w:p>
        </w:tc>
        <w:tc>
          <w:tcPr>
            <w:tcW w:type="dxa" w:w="61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Código técnico de metodología cuando aplica.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MLI-METODO</w:t>
            </w:r>
          </w:p>
        </w:tc>
        <w:tc>
          <w:tcPr>
            <w:tcW w:type="dxa" w:w="61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Descripción informativa de metodología.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MLI-SW-DIAS-NATURALES</w:t>
            </w:r>
          </w:p>
        </w:tc>
        <w:tc>
          <w:tcPr>
            <w:tcW w:type="dxa" w:w="61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Switch físico que soporta 88 SI/NO.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MLI-SW-DIAS-COMERCIALES</w:t>
            </w:r>
          </w:p>
        </w:tc>
        <w:tc>
          <w:tcPr>
            <w:tcW w:type="dxa" w:w="61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Switch físico que soporta 88 SI/NO.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MLI-SW-CALC-FACTOR</w:t>
            </w:r>
          </w:p>
        </w:tc>
        <w:tc>
          <w:tcPr>
            <w:tcW w:type="dxa" w:w="61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Switch físico que soporta 88 SI/NO.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MLI-ACTIVO</w:t>
            </w:r>
          </w:p>
        </w:tc>
        <w:tc>
          <w:tcPr>
            <w:tcW w:type="dxa" w:w="61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Indicador ACTIVO leído de parametría.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MLI-CODRETORNO</w:t>
            </w:r>
          </w:p>
        </w:tc>
        <w:tc>
          <w:tcPr>
            <w:tcW w:type="dxa" w:w="61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Resultado funcional/técnico.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MLI-MODULRES / VAR1 / VAR2</w:t>
            </w:r>
          </w:p>
        </w:tc>
        <w:tc>
          <w:tcPr>
            <w:tcW w:type="dxa" w:w="612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3" w:color="B7C9D6"/>
              <w:left w:val="single" w:sz="3" w:color="B7C9D6"/>
              <w:bottom w:val="single" w:sz="3" w:color="B7C9D6"/>
              <w:right w:val="single" w:sz="3" w:color="B7C9D6"/>
            </w:tcBorders>
          </w:tcPr>
          <w:p>
            <w:pPr>
              <w:spacing w:after="0"/>
            </w:pPr>
            <w:r>
              <w:rPr>
                <w:sz w:val="18"/>
              </w:rPr>
              <w:t>Información de diagnóstico/error.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Uso desde componentes consumidores</w:t>
      </w:r>
    </w:p>
    <w:p>
      <w:pPr>
        <w:spacing w:after="40"/>
        <w:ind w:left="403" w:hanging="403"/>
      </w:pPr>
      <w:r>
        <w:rPr>
          <w:sz w:val="21"/>
        </w:rPr>
        <w:t>1.  El consumidor informa tipo de cartera, MLI-FEC-SOLICITUD = FESOLIC y subproducto.</w:t>
      </w:r>
    </w:p>
    <w:p>
      <w:pPr>
        <w:spacing w:after="40"/>
        <w:ind w:left="403" w:hanging="403"/>
      </w:pPr>
      <w:r>
        <w:rPr>
          <w:sz w:val="21"/>
        </w:rPr>
        <w:t>2.  Invoca UR9CMLI0 usando URWCMLI.</w:t>
      </w:r>
    </w:p>
    <w:p>
      <w:pPr>
        <w:spacing w:after="40"/>
        <w:ind w:left="403" w:hanging="403"/>
      </w:pPr>
      <w:r>
        <w:rPr>
          <w:sz w:val="21"/>
        </w:rPr>
        <w:t>3.  Retorno 00: mueve MLI-DIASCAL a la variable legacy que corresponda y consulta los 88-level switches cuando necesita decidir días o factor.</w:t>
      </w:r>
    </w:p>
    <w:p>
      <w:pPr>
        <w:spacing w:after="40"/>
        <w:ind w:left="403" w:hanging="403"/>
      </w:pPr>
      <w:r>
        <w:rPr>
          <w:sz w:val="21"/>
        </w:rPr>
        <w:t>4.  Retorno 30: no cambia la metodología legacy ni activa comportamiento nuevo.</w:t>
      </w:r>
    </w:p>
    <w:p>
      <w:pPr>
        <w:spacing w:after="40"/>
        <w:ind w:left="403" w:hanging="403"/>
      </w:pPr>
      <w:r>
        <w:rPr>
          <w:sz w:val="21"/>
        </w:rPr>
        <w:t>5.  Retornos 10/20/90: se tratan como error de acuerdo con el estándar del componente.</w:t>
      </w:r>
    </w:p>
    <w:p>
      <w:pPr>
        <w:pStyle w:val="Heading1"/>
        <w:keepNext/>
      </w:pPr>
      <w:r>
        <w:t>14. Relación con 365/360</w:t>
      </w:r>
    </w:p>
    <w:p>
      <w:r>
        <w:t>Para el proyecto, la parametría prevista 2027-01-01;X;365/360;NA;S;S produce el siguiente contrato:</w:t>
      </w:r>
    </w:p>
    <w:p>
      <w:pPr>
        <w:pStyle w:val="CodeBlock"/>
        <w:keepLines/>
      </w:pPr>
      <w:r>
        <w:t>MLI-DIASCAL              = X</w:t>
        <w:br/>
        <w:t>MLI-METODO               = 365/360</w:t>
        <w:br/>
        <w:t>MLI-DIAS-NATURALES-SI    = TRUE</w:t>
        <w:br/>
        <w:t>MLI-DIAS-COMERCIALES-NO  = TRUE</w:t>
        <w:br/>
        <w:t>MLI-CALC-FACTOR-SI       = TRUE</w:t>
        <w:br/>
        <w:t>MLI-CODRETORNO            = 00</w:t>
      </w:r>
    </w:p>
    <w:p>
      <w:r>
        <w:t>La asociación X → NA → cálculo por factor no está codificada como regla interna. Es consecuencia de los valores cargados en RESTO y puede cambiarse por parametría mientras los valores técnicos soportados sigan siendo válidos.</w:t>
      </w:r>
    </w:p>
    <w:p>
      <w:pPr>
        <w:pStyle w:val="Heading1"/>
        <w:keepNext/>
      </w:pPr>
      <w:r>
        <w:t>15. Revisión estática realizada</w:t>
      </w:r>
    </w:p>
    <w:p>
      <w:pPr>
        <w:pStyle w:val="ListBullet"/>
        <w:spacing w:after="40"/>
      </w:pPr>
      <w:r>
        <w:t>FESOLIC está representada en el contrato como MLI-FEC-SOLICITUD.</w:t>
      </w:r>
    </w:p>
    <w:p>
      <w:pPr>
        <w:pStyle w:val="ListBullet"/>
        <w:spacing w:after="40"/>
      </w:pPr>
      <w:r>
        <w:t>RESTO se interpreta con seis campos.</w:t>
      </w:r>
    </w:p>
    <w:p>
      <w:pPr>
        <w:pStyle w:val="ListBullet"/>
        <w:spacing w:after="40"/>
      </w:pPr>
      <w:r>
        <w:t>Los switches de días y factor se inicializan en NO y se desactivan para todo retorno distinto de 00.</w:t>
      </w:r>
    </w:p>
    <w:p>
      <w:pPr>
        <w:pStyle w:val="ListBullet"/>
        <w:spacing w:after="40"/>
      </w:pPr>
      <w:r>
        <w:t>No existe lógica que derive tipo de días o cálculo de factor a partir de DIASCAL.</w:t>
      </w:r>
    </w:p>
    <w:p>
      <w:pPr>
        <w:pStyle w:val="ListBullet"/>
        <w:spacing w:after="40"/>
      </w:pPr>
      <w:r>
        <w:t>No existen sentencias EXEC CICS ni referencias CICS.</w:t>
      </w:r>
    </w:p>
    <w:p>
      <w:pPr>
        <w:pStyle w:val="ListBullet"/>
        <w:spacing w:after="40"/>
      </w:pPr>
      <w:r>
        <w:t>No existen sentencias INITIALIZE en UR9CMLI0 V3.</w:t>
      </w:r>
    </w:p>
    <w:p>
      <w:pPr>
        <w:pStyle w:val="ListBullet"/>
        <w:spacing w:after="40"/>
      </w:pPr>
      <w:r>
        <w:t>PROCEDURE DIVISION usa LK-URWCMLI y la rutina termina con GOBACK.</w:t>
      </w:r>
    </w:p>
    <w:p>
      <w:pPr>
        <w:pStyle w:val="ListBullet"/>
        <w:spacing w:after="40"/>
      </w:pPr>
      <w:r>
        <w:t>Los SELECT a UGDTT37 incluyen FETCH FIRST 1 ROW ONLY.</w:t>
      </w:r>
    </w:p>
    <w:p>
      <w:pPr>
        <w:pStyle w:val="ListBullet"/>
        <w:spacing w:after="40"/>
      </w:pPr>
      <w:r>
        <w:t>No se detectaron líneas por encima de la columna 72 en la fuente V3 revisada.</w:t>
      </w:r>
    </w:p>
    <w:p>
      <w:pPr>
        <w:pStyle w:val="ListBullet"/>
        <w:spacing w:after="40"/>
      </w:pPr>
      <w:r>
        <w:t>MOVE y SET mantienen el TO alineado en la rutina V3.</w:t>
      </w:r>
    </w:p>
    <w:p>
      <w:pPr>
        <w:pStyle w:val="Heading1"/>
        <w:keepNext/>
      </w:pPr>
      <w:r>
        <w:t>16. Estado de compilación</w:t>
      </w:r>
    </w:p>
    <w:p>
      <w:r>
        <w:t>La versión se considera candidata a compilación según revisión estática. No se ha ejecutado el precompilador/compilador COBOL + DB2 del entorno BBVA; la confirmación definitiva requiere compilar con el procedimiento corporativo y revisar el spool.</w:t>
      </w:r>
    </w:p>
    <w:p>
      <w:pPr>
        <w:pStyle w:val="Heading1"/>
        <w:keepNext/>
      </w:pPr>
      <w:r>
        <w:t>17. Pendientes</w:t>
      </w:r>
    </w:p>
    <w:p>
      <w:pPr>
        <w:spacing w:after="40"/>
        <w:ind w:left="403" w:hanging="403"/>
      </w:pPr>
      <w:r>
        <w:rPr>
          <w:sz w:val="21"/>
        </w:rPr>
        <w:t>1.  Reemplazar en la fuente CTE-SECC-METODO = XXXX por la sección definitiva 0365 antes de compilación/instalación.</w:t>
      </w:r>
    </w:p>
    <w:p>
      <w:pPr>
        <w:spacing w:after="40"/>
        <w:ind w:left="403" w:hanging="403"/>
      </w:pPr>
      <w:r>
        <w:rPr>
          <w:sz w:val="21"/>
        </w:rPr>
        <w:t>2.  Confirmar formalmente las reglas de clasificación soportadas por las secciones 1250 (leasing habitacional) y 9040 (vehículo).</w:t>
      </w:r>
    </w:p>
    <w:p>
      <w:pPr>
        <w:spacing w:after="40"/>
        <w:ind w:left="403" w:hanging="403"/>
      </w:pPr>
      <w:r>
        <w:rPr>
          <w:sz w:val="21"/>
        </w:rPr>
        <w:t>3.  Compilar UR9CMLI0 y URWCMLI en el entorno corporativo y revisar spool DB2/COBOL.</w:t>
      </w:r>
    </w:p>
    <w:p>
      <w:pPr>
        <w:spacing w:after="40"/>
        <w:ind w:left="403" w:hanging="403"/>
      </w:pPr>
      <w:r>
        <w:rPr>
          <w:sz w:val="21"/>
        </w:rPr>
        <w:t>4.  Ejecutar pruebas unitarias para 00/10/20/30/90, activo/inactivo, vigencia por FESOLIC, NA/CO y factor S/N.</w:t>
      </w:r>
    </w:p>
    <w:p>
      <w:pPr>
        <w:spacing w:after="40"/>
        <w:ind w:left="403" w:hanging="403"/>
      </w:pPr>
      <w:r>
        <w:rPr>
          <w:sz w:val="21"/>
        </w:rPr>
        <w:t>5.  Validar que los consumidores no vuelvan a deducir comportamiento nuevo a partir de literales de DIASCAL.</w:t>
      </w:r>
    </w:p>
    <w:sectPr w:rsidR="00FC693F" w:rsidRPr="0006063C" w:rsidSect="00034616"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UR9CMLI0 - Diseño Técnico   |   </w:t>
    </w: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21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64A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7214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7214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259"/>
      <w:shd w:fill="F5F7F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