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jc w:val="center"/>
        <w:spacing w:before="0" w:after="40"/>
      </w:pPr>
      <w:r>
        <w:rPr>
          <w:b/>
          <w:sz w:val="40"/>
          <w:szCs w:val="40"/>
          <w:color w:val="1F4E79"/>
        </w:rPr>
        <w:t xml:space="preserve">SDA 56742 - Pricing Vehículo</w:t>
      </w:r>
    </w:p>
    <w:p>
      <w:pPr>
        <w:jc w:val="center"/>
        <w:spacing w:before="0" w:after="200"/>
      </w:pPr>
      <w:r>
        <w:rPr>
          <w:b/>
          <w:sz w:val="26"/>
          <w:szCs w:val="26"/>
          <w:color w:val="2E74B5"/>
        </w:rPr>
        <w:t xml:space="preserve">Guía de presentación de los diagramas de arquitectura</w:t>
      </w:r>
    </w:p>
    <w:p>
      <w:pPr>
        <w:jc w:val="center"/>
        <w:spacing w:before="0" w:after="300"/>
      </w:pPr>
      <w:r>
        <w:rPr>
          <w:i/>
          <w:sz w:val="18"/>
          <w:szCs w:val="18"/>
        </w:rPr>
        <w:t xml:space="preserve">Documento de apoyo - 29 de octubre de 2026 - Equipo HOST (Andrés)</w:t>
      </w:r>
    </w:p>
    <w:p>
      <w:pPr>
        <w:spacing w:before="0" w:after="160"/>
      </w:pPr>
      <w:r>
        <w:t xml:space="preserve">Este documento es un guión de apoyo para presentar los diagramas de arquitectura (batch y online) del proyecto. No reemplaza los diagramas (que viven en archivos .drawio, editables en app.diagrams.net) - es la “receta” de en qué orden recorrer cada caja y qué decir frente a ella, para que la presentación fluya igual sin importar quién la dé.</w:t>
      </w:r>
    </w:p>
    <w:p>
      <w:pPr>
        <w:spacing w:before="280" w:after="160"/>
      </w:pPr>
      <w:r>
        <w:rPr>
          <w:b/>
          <w:sz w:val="32"/>
          <w:szCs w:val="32"/>
          <w:color w:val="1F4E79"/>
        </w:rPr>
        <w:t xml:space="preserve">Cómo usar esta guía</w:t>
      </w:r>
    </w:p>
    <w:p>
      <w:pPr>
        <w:ind w:left="360" w:hanging="360"/>
        <w:spacing w:before="0" w:after="100"/>
      </w:pPr>
      <w:r>
        <w:rPr>
          <w:b/>
        </w:rPr>
        <w:t xml:space="preserve">- </w:t>
      </w:r>
      <w:r>
        <w:t xml:space="preserve">Cada diagrama tiene su propia tabla, en el orden recomendado de recorrido (normalmente de izquierda a derecha, siguiendo el flujo real del dato).</w:t>
      </w:r>
    </w:p>
    <w:p>
      <w:pPr>
        <w:ind w:left="360" w:hanging="360"/>
        <w:spacing w:before="0" w:after="100"/>
      </w:pPr>
      <w:r>
        <w:rPr>
          <w:b/>
        </w:rPr>
        <w:t xml:space="preserve">- </w:t>
      </w:r>
      <w:r>
        <w:t xml:space="preserve">La columna “Qué señalar” te dice en qué caja o grupo de cajas poner el cursor/puntero en ese momento.</w:t>
      </w:r>
    </w:p>
    <w:p>
      <w:pPr>
        <w:ind w:left="360" w:hanging="360"/>
        <w:spacing w:before="0" w:after="100"/>
      </w:pPr>
      <w:r>
        <w:rPr>
          <w:b/>
        </w:rPr>
        <w:t xml:space="preserve">- </w:t>
      </w:r>
      <w:r>
        <w:t xml:space="preserve">La columna “Qué decir” es un guión sugerido - no hace falta leerlo textual, es para no quedarse en blanco ni olvidar el punto clave de cada paso.</w:t>
      </w:r>
    </w:p>
    <w:p>
      <w:pPr>
        <w:ind w:left="360" w:hanging="360"/>
        <w:spacing w:before="0" w:after="100"/>
      </w:pPr>
      <w:r>
        <w:rPr>
          <w:b/>
        </w:rPr>
        <w:t xml:space="preserve">- </w:t>
      </w:r>
      <w:r>
        <w:t xml:space="preserve">Al final de cada diagrama hay una sección de “preguntas frecuentes” con las dudas más probables que puede hacer la audiencia, y una respuesta corta ya pensada.</w:t>
      </w:r>
    </w:p>
    <w:p>
      <w:pPr>
        <w:ind w:left="360" w:hanging="360"/>
        <w:spacing w:before="0" w:after="100"/>
      </w:pPr>
      <w:r>
        <w:rPr>
          <w:b/>
        </w:rPr>
        <w:t xml:space="preserve">- </w:t>
      </w:r>
      <w:r>
        <w:t xml:space="preserve">Abre el archivo .drawio correspondiente en app.diagrams.net antes de empezar, en modo presentación o simplemente con zoom cómodo - esta guía se lee en paralelo, en una segunda pantalla o impresa.</w:t>
      </w:r>
    </w:p>
    <w:p>
      <w:r>
        <w:br w:type="page"/>
      </w:r>
    </w:p>
    <w:p>
      <w:pPr>
        <w:spacing w:before="280" w:after="160"/>
      </w:pPr>
      <w:r>
        <w:rPr>
          <w:b/>
          <w:sz w:val="32"/>
          <w:szCs w:val="32"/>
          <w:color w:val="1F4E79"/>
        </w:rPr>
        <w:t xml:space="preserve">Diagrama 1 - Carga de un Clúster RAR (frente Batch)</w:t>
      </w:r>
    </w:p>
    <w:p>
      <w:pPr>
        <w:spacing w:before="0" w:after="100"/>
      </w:pPr>
      <w:r>
        <w:rPr>
          <w:i/>
          <w:sz w:val="18"/>
          <w:szCs w:val="18"/>
          <w:color w:val="5A6B7E"/>
        </w:rPr>
        <w:t xml:space="preserve">Archivo: Carga_Clusters_RAR_Componentes.drawio</w:t>
      </w:r>
    </w:p>
    <w:p>
      <w:pPr>
        <w:spacing w:before="0" w:after="160"/>
      </w:pPr>
      <w:r>
        <w:t xml:space="preserve">Qué es: el proceso que corre una vez al día y que convierte el archivo que manda Rentabilidad en los clústers (combinación de 23 variables + tasa) que luego busca el canal online. Es el diagrama más validado de los dos - úsalo primero para ganar credibilidad antes de entrar a las partes más nuevas/propuestas del online.</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500"/>
        <w:gridCol w:w="2600"/>
        <w:gridCol w:w="5900"/>
      </w:tblGrid>
      <w:tr>
        <w:tc>
          <w:tcPr>
            <w:tcW w:w="500" w:type="dxa"/>
            <w:shd w:val="clear" w:color="auto" w:fill="D9E2F3"/>
            <w:vAlign w:val="top"/>
          </w:tcPr>
          <w:p>
            <w:pPr>
              <w:spacing w:before="0" w:after="60"/>
            </w:pPr>
            <w:r>
              <w:rPr>
                <w:b/>
              </w:rPr>
              <w:t xml:space="preserve">#</w:t>
            </w:r>
          </w:p>
        </w:tc>
        <w:tc>
          <w:tcPr>
            <w:tcW w:w="2600" w:type="dxa"/>
            <w:shd w:val="clear" w:color="auto" w:fill="D9E2F3"/>
            <w:vAlign w:val="top"/>
          </w:tcPr>
          <w:p>
            <w:pPr>
              <w:spacing w:before="0" w:after="60"/>
            </w:pPr>
            <w:r>
              <w:rPr>
                <w:b/>
              </w:rPr>
              <w:t xml:space="preserve">Qué señalar</w:t>
            </w:r>
          </w:p>
        </w:tc>
        <w:tc>
          <w:tcPr>
            <w:tcW w:w="5900" w:type="dxa"/>
            <w:shd w:val="clear" w:color="auto" w:fill="D9E2F3"/>
            <w:vAlign w:val="top"/>
          </w:tcPr>
          <w:p>
            <w:pPr>
              <w:spacing w:before="0" w:after="60"/>
            </w:pPr>
            <w:r>
              <w:rPr>
                <w:b/>
              </w:rPr>
              <w:t xml:space="preserve">Qué decir</w:t>
            </w:r>
          </w:p>
        </w:tc>
      </w:tr>
      <w:tr>
        <w:tc>
          <w:tcPr>
            <w:tcW w:w="500" w:type="dxa"/>
            <w:vAlign w:val="top"/>
          </w:tcPr>
          <w:p>
            <w:pPr>
              <w:spacing w:before="0" w:after="60"/>
            </w:pPr>
            <w:r>
              <w:rPr>
                <w:sz w:val="18"/>
                <w:szCs w:val="18"/>
              </w:rPr>
              <w:t xml:space="preserve">1</w:t>
            </w:r>
          </w:p>
        </w:tc>
        <w:tc>
          <w:tcPr>
            <w:tcW w:w="2600" w:type="dxa"/>
            <w:vAlign w:val="top"/>
          </w:tcPr>
          <w:p>
            <w:pPr>
              <w:spacing w:before="0" w:after="60"/>
            </w:pPr>
            <w:r>
              <w:rPr>
                <w:sz w:val="18"/>
                <w:szCs w:val="18"/>
              </w:rPr>
              <w:t xml:space="preserve">Paquete “Origen - Fábrica Rentabilidad / Tantia” (caja gris, izquierda)</w:t>
            </w:r>
          </w:p>
        </w:tc>
        <w:tc>
          <w:tcPr>
            <w:tcW w:w="5900" w:type="dxa"/>
            <w:vAlign w:val="top"/>
          </w:tcPr>
          <w:p>
            <w:pPr>
              <w:spacing w:before="0" w:after="60"/>
            </w:pPr>
            <w:r>
              <w:rPr>
                <w:sz w:val="18"/>
                <w:szCs w:val="18"/>
              </w:rPr>
              <w:t xml:space="preserve">Todo arranca una vez al día con un archivo real que manda Rentabilidad: ARCHIVO_CARGUE_MODRAR. Cada fila de ese archivo es un clúster: ya trae la combinación de las 23 variables Y la tasa que le corresponde, juntas. El batch no calcula tasa en ningún momento, solo la traduce y la copia tal cual.</w:t>
            </w:r>
          </w:p>
        </w:tc>
      </w:tr>
      <w:tr>
        <w:tc>
          <w:tcPr>
            <w:tcW w:w="500" w:type="dxa"/>
            <w:vAlign w:val="top"/>
          </w:tcPr>
          <w:p>
            <w:pPr>
              <w:spacing w:before="0" w:after="60"/>
            </w:pPr>
            <w:r>
              <w:rPr>
                <w:sz w:val="18"/>
                <w:szCs w:val="18"/>
              </w:rPr>
              <w:t xml:space="preserve">2</w:t>
            </w:r>
          </w:p>
        </w:tc>
        <w:tc>
          <w:tcPr>
            <w:tcW w:w="2600" w:type="dxa"/>
            <w:vAlign w:val="top"/>
          </w:tcPr>
          <w:p>
            <w:pPr>
              <w:spacing w:before="0" w:after="60"/>
            </w:pPr>
            <w:r>
              <w:rPr>
                <w:sz w:val="18"/>
                <w:szCs w:val="18"/>
              </w:rPr>
              <w:t xml:space="preserve">Catálogo de las 23 variables (tabla ámbar dentro del mismo paquete)</w:t>
            </w:r>
          </w:p>
        </w:tc>
        <w:tc>
          <w:tcPr>
            <w:tcW w:w="5900" w:type="dxa"/>
            <w:vAlign w:val="top"/>
          </w:tcPr>
          <w:p>
            <w:pPr>
              <w:spacing w:before="0" w:after="60"/>
            </w:pPr>
            <w:r>
              <w:rPr>
                <w:sz w:val="18"/>
                <w:szCs w:val="18"/>
              </w:rPr>
              <w:t xml:space="preserve">Estas son las 23 variables del modelo RAR. Las 5 resaltadas son las del proyecto: Grupo de comisión, Nuevo/Usado, LTV, Combustible y Prenda. Tres de ellas (Grupo, Combustible, Prenda) ya tenían su posición reservada en el archivo desde siempre - el proyecto no inventa campos nuevos, destraba posiciones que ya existían.</w:t>
            </w:r>
          </w:p>
        </w:tc>
      </w:tr>
      <w:tr>
        <w:tc>
          <w:tcPr>
            <w:tcW w:w="500" w:type="dxa"/>
            <w:vAlign w:val="top"/>
          </w:tcPr>
          <w:p>
            <w:pPr>
              <w:spacing w:before="0" w:after="60"/>
            </w:pPr>
            <w:r>
              <w:rPr>
                <w:sz w:val="18"/>
                <w:szCs w:val="18"/>
              </w:rPr>
              <w:t xml:space="preserve">3</w:t>
            </w:r>
          </w:p>
        </w:tc>
        <w:tc>
          <w:tcPr>
            <w:tcW w:w="2600" w:type="dxa"/>
            <w:vAlign w:val="top"/>
          </w:tcPr>
          <w:p>
            <w:pPr>
              <w:spacing w:before="0" w:after="60"/>
            </w:pPr>
            <w:r>
              <w:rPr>
                <w:sz w:val="18"/>
                <w:szCs w:val="18"/>
              </w:rPr>
              <w:t xml:space="preserve">Primeros pasos de la malla (PUGDRAR1 → UGRAR3A5 → ... → UGRAR390)</w:t>
            </w:r>
          </w:p>
        </w:tc>
        <w:tc>
          <w:tcPr>
            <w:tcW w:w="5900" w:type="dxa"/>
            <w:vAlign w:val="top"/>
          </w:tcPr>
          <w:p>
            <w:pPr>
              <w:spacing w:before="0" w:after="60"/>
            </w:pPr>
            <w:r>
              <w:rPr>
                <w:sz w:val="18"/>
                <w:szCs w:val="18"/>
              </w:rPr>
              <w:t xml:space="preserve">Esta cadena recibe el archivo, lo valida, lo ordena y lo separa en 23 flujos - uno por variable. Es preparación, todavía no se arma nada.</w:t>
            </w:r>
          </w:p>
        </w:tc>
      </w:tr>
      <w:tr>
        <w:tc>
          <w:tcPr>
            <w:tcW w:w="500" w:type="dxa"/>
            <w:vAlign w:val="top"/>
          </w:tcPr>
          <w:p>
            <w:pPr>
              <w:spacing w:before="0" w:after="60"/>
            </w:pPr>
            <w:r>
              <w:rPr>
                <w:sz w:val="18"/>
                <w:szCs w:val="18"/>
              </w:rPr>
              <w:t xml:space="preserve">4</w:t>
            </w:r>
          </w:p>
        </w:tc>
        <w:tc>
          <w:tcPr>
            <w:tcW w:w="2600" w:type="dxa"/>
            <w:vAlign w:val="top"/>
          </w:tcPr>
          <w:p>
            <w:pPr>
              <w:spacing w:before="0" w:after="60"/>
            </w:pPr>
            <w:r>
              <w:rPr>
                <w:sz w:val="18"/>
                <w:szCs w:val="18"/>
              </w:rPr>
              <w:t xml:space="preserve">UGRAR430 → UG4CRAR1 (asigna letra) + cilindro UGDTT37 secc. 9967</w:t>
            </w:r>
          </w:p>
        </w:tc>
        <w:tc>
          <w:tcPr>
            <w:tcW w:w="5900" w:type="dxa"/>
            <w:vAlign w:val="top"/>
          </w:tcPr>
          <w:p>
            <w:pPr>
              <w:spacing w:before="0" w:after="60"/>
            </w:pPr>
            <w:r>
              <w:rPr>
                <w:sz w:val="18"/>
                <w:szCs w:val="18"/>
              </w:rPr>
              <w:t xml:space="preserve">Aquí pasa lo importante del batch: por cada variable, UG4CRAR1 ordena las opciones que llegaron ese día y les pone letra en ese orden - la primera opción es A, la segunda B, así sucesivamente. No es un código fijo, es un consecutivo que se arma de nuevo cada cargue.</w:t>
            </w:r>
          </w:p>
        </w:tc>
      </w:tr>
      <w:tr>
        <w:tc>
          <w:tcPr>
            <w:tcW w:w="500" w:type="dxa"/>
            <w:vAlign w:val="top"/>
          </w:tcPr>
          <w:p>
            <w:pPr>
              <w:spacing w:before="0" w:after="60"/>
            </w:pPr>
            <w:r>
              <w:rPr>
                <w:sz w:val="18"/>
                <w:szCs w:val="18"/>
              </w:rPr>
              <w:t xml:space="preserve">5</w:t>
            </w:r>
          </w:p>
        </w:tc>
        <w:tc>
          <w:tcPr>
            <w:tcW w:w="2600" w:type="dxa"/>
            <w:vAlign w:val="top"/>
          </w:tcPr>
          <w:p>
            <w:pPr>
              <w:spacing w:before="0" w:after="60"/>
            </w:pPr>
            <w:r>
              <w:rPr>
                <w:sz w:val="18"/>
                <w:szCs w:val="18"/>
              </w:rPr>
              <w:t xml:space="preserve">Callout “¿Por qué 09/19/21 no llegan hoy?” (caja blanca pegada a este paso)</w:t>
            </w:r>
          </w:p>
        </w:tc>
        <w:tc>
          <w:tcPr>
            <w:tcW w:w="5900" w:type="dxa"/>
            <w:vAlign w:val="top"/>
          </w:tcPr>
          <w:p>
            <w:pPr>
              <w:spacing w:before="0" w:after="60"/>
            </w:pPr>
            <w:r>
              <w:rPr>
                <w:sz w:val="18"/>
                <w:szCs w:val="18"/>
              </w:rPr>
              <w:t xml:space="preserve">Este es el hallazgo clave del batch: las posiciones de Grupo, Combustible y Prenda ya existen en el archivo, pero hoy un IF del programa (IF ENT-TIPO-PRODUCTO = 'C') las descarta para la línea Vehículo. La propuesta es extender esa condición - no construir nada nuevo, solo dejar de bloquear lo que ya llega.</w:t>
            </w:r>
          </w:p>
        </w:tc>
      </w:tr>
      <w:tr>
        <w:tc>
          <w:tcPr>
            <w:tcW w:w="500" w:type="dxa"/>
            <w:vAlign w:val="top"/>
          </w:tcPr>
          <w:p>
            <w:pPr>
              <w:spacing w:before="0" w:after="60"/>
            </w:pPr>
            <w:r>
              <w:rPr>
                <w:sz w:val="18"/>
                <w:szCs w:val="18"/>
              </w:rPr>
              <w:t xml:space="preserve">6</w:t>
            </w:r>
          </w:p>
        </w:tc>
        <w:tc>
          <w:tcPr>
            <w:tcW w:w="2600" w:type="dxa"/>
            <w:vAlign w:val="top"/>
          </w:tcPr>
          <w:p>
            <w:pPr>
              <w:spacing w:before="0" w:after="60"/>
            </w:pPr>
            <w:r>
              <w:rPr>
                <w:sz w:val="18"/>
                <w:szCs w:val="18"/>
              </w:rPr>
              <w:t xml:space="preserve">UGRAR440 → UG4CRAR2 (arma CLAVE_ID) + ejemplo trabajado</w:t>
            </w:r>
          </w:p>
        </w:tc>
        <w:tc>
          <w:tcPr>
            <w:tcW w:w="5900" w:type="dxa"/>
            <w:vAlign w:val="top"/>
          </w:tcPr>
          <w:p>
            <w:pPr>
              <w:spacing w:before="0" w:after="60"/>
            </w:pPr>
            <w:r>
              <w:rPr>
                <w:sz w:val="18"/>
                <w:szCs w:val="18"/>
              </w:rPr>
              <w:t xml:space="preserve">Este paso busca, para cada variable, la letra que el paso anterior ya catalogó, y arma la clave de 23 posiciones. El ejemplo muestra una clave real: B0AC0000B0AA000000B0A00 - cada posición es la letra de una variable, y las que no están activas quedan en cero.</w:t>
            </w:r>
          </w:p>
        </w:tc>
      </w:tr>
      <w:tr>
        <w:tc>
          <w:tcPr>
            <w:tcW w:w="500" w:type="dxa"/>
            <w:vAlign w:val="top"/>
          </w:tcPr>
          <w:p>
            <w:pPr>
              <w:spacing w:before="0" w:after="60"/>
            </w:pPr>
            <w:r>
              <w:rPr>
                <w:sz w:val="18"/>
                <w:szCs w:val="18"/>
              </w:rPr>
              <w:t xml:space="preserve">7</w:t>
            </w:r>
          </w:p>
        </w:tc>
        <w:tc>
          <w:tcPr>
            <w:tcW w:w="2600" w:type="dxa"/>
            <w:vAlign w:val="top"/>
          </w:tcPr>
          <w:p>
            <w:pPr>
              <w:spacing w:before="0" w:after="60"/>
            </w:pPr>
            <w:r>
              <w:rPr>
                <w:sz w:val="18"/>
                <w:szCs w:val="18"/>
              </w:rPr>
              <w:t xml:space="preserve">Caja “¿Cómo se sabe a qué letra pertenece un valor?” (mecanismo SEARCH/BETWEEN)</w:t>
            </w:r>
          </w:p>
        </w:tc>
        <w:tc>
          <w:tcPr>
            <w:tcW w:w="5900" w:type="dxa"/>
            <w:vAlign w:val="top"/>
          </w:tcPr>
          <w:p>
            <w:pPr>
              <w:spacing w:before="0" w:after="60"/>
            </w:pPr>
            <w:r>
              <w:rPr>
                <w:sz w:val="18"/>
                <w:szCs w:val="18"/>
              </w:rPr>
              <w:t xml:space="preserve">Esto responde la pregunta que más se repite: no hay ningún número quemado en el código. El programa compara el valor contra los tramos que ya están catalogados y toma la letra de ese tramo. Por eso, si mañana cambia un corte de negocio (por ejemplo el de LTV), no hay que tocar una línea de COBOL - el programa ya sabe adaptarse a lo que venga catalogado ese día.</w:t>
            </w:r>
          </w:p>
        </w:tc>
      </w:tr>
      <w:tr>
        <w:tc>
          <w:tcPr>
            <w:tcW w:w="500" w:type="dxa"/>
            <w:vAlign w:val="top"/>
          </w:tcPr>
          <w:p>
            <w:pPr>
              <w:spacing w:before="0" w:after="60"/>
            </w:pPr>
            <w:r>
              <w:rPr>
                <w:sz w:val="18"/>
                <w:szCs w:val="18"/>
              </w:rPr>
              <w:t xml:space="preserve">8</w:t>
            </w:r>
          </w:p>
        </w:tc>
        <w:tc>
          <w:tcPr>
            <w:tcW w:w="2600" w:type="dxa"/>
            <w:vAlign w:val="top"/>
          </w:tcPr>
          <w:p>
            <w:pPr>
              <w:spacing w:before="0" w:after="60"/>
            </w:pPr>
            <w:r>
              <w:rPr>
                <w:sz w:val="18"/>
                <w:szCs w:val="18"/>
              </w:rPr>
              <w:t xml:space="preserve">UGRAR44A/B → UG9C0NRA (inserta) → PUGDRAR4 (reportes)</w:t>
            </w:r>
          </w:p>
        </w:tc>
        <w:tc>
          <w:tcPr>
            <w:tcW w:w="5900" w:type="dxa"/>
            <w:vAlign w:val="top"/>
          </w:tcPr>
          <w:p>
            <w:pPr>
              <w:spacing w:before="0" w:after="60"/>
            </w:pPr>
            <w:r>
              <w:rPr>
                <w:sz w:val="18"/>
                <w:szCs w:val="18"/>
              </w:rPr>
              <w:t xml:space="preserve">Control de duplicados, inserción final en la base, y reporte de vuelta a Tantia confirmando qué se cargó.</w:t>
            </w:r>
          </w:p>
        </w:tc>
      </w:tr>
      <w:tr>
        <w:tc>
          <w:tcPr>
            <w:tcW w:w="500" w:type="dxa"/>
            <w:vAlign w:val="top"/>
          </w:tcPr>
          <w:p>
            <w:pPr>
              <w:spacing w:before="0" w:after="60"/>
            </w:pPr>
            <w:r>
              <w:rPr>
                <w:sz w:val="18"/>
                <w:szCs w:val="18"/>
              </w:rPr>
              <w:t xml:space="preserve">9</w:t>
            </w:r>
          </w:p>
        </w:tc>
        <w:tc>
          <w:tcPr>
            <w:tcW w:w="2600" w:type="dxa"/>
            <w:vAlign w:val="top"/>
          </w:tcPr>
          <w:p>
            <w:pPr>
              <w:spacing w:before="0" w:after="60"/>
            </w:pPr>
            <w:r>
              <w:rPr>
                <w:sz w:val="18"/>
                <w:szCs w:val="18"/>
              </w:rPr>
              <w:t xml:space="preserve">Cilindro UGDTNRA (ámbar, columna de tablas)</w:t>
            </w:r>
          </w:p>
        </w:tc>
        <w:tc>
          <w:tcPr>
            <w:tcW w:w="5900" w:type="dxa"/>
            <w:vAlign w:val="top"/>
          </w:tcPr>
          <w:p>
            <w:pPr>
              <w:spacing w:before="0" w:after="60"/>
            </w:pPr>
            <w:r>
              <w:rPr>
                <w:sz w:val="18"/>
                <w:szCs w:val="18"/>
              </w:rPr>
              <w:t xml:space="preserve">Esta es la tabla final donde queda todo: el catálogo de letras por variable (registro 01-23), qué variables están activas por línea (registro 99), y el clúster final con su tasa (registro 90).</w:t>
            </w:r>
          </w:p>
        </w:tc>
      </w:tr>
      <w:tr>
        <w:tc>
          <w:tcPr>
            <w:tcW w:w="500" w:type="dxa"/>
            <w:vAlign w:val="top"/>
          </w:tcPr>
          <w:p>
            <w:pPr>
              <w:spacing w:before="0" w:after="60"/>
            </w:pPr>
            <w:r>
              <w:rPr>
                <w:sz w:val="18"/>
                <w:szCs w:val="18"/>
              </w:rPr>
              <w:t xml:space="preserve">10</w:t>
            </w:r>
          </w:p>
        </w:tc>
        <w:tc>
          <w:tcPr>
            <w:tcW w:w="2600" w:type="dxa"/>
            <w:vAlign w:val="top"/>
          </w:tcPr>
          <w:p>
            <w:pPr>
              <w:spacing w:before="0" w:after="60"/>
            </w:pPr>
            <w:r>
              <w:rPr>
                <w:sz w:val="18"/>
                <w:szCs w:val="18"/>
              </w:rPr>
              <w:t xml:space="preserve">Flecha punteada morada hacia “Online HOST (UG7CCNRA)”</w:t>
            </w:r>
          </w:p>
        </w:tc>
        <w:tc>
          <w:tcPr>
            <w:tcW w:w="5900" w:type="dxa"/>
            <w:vAlign w:val="top"/>
          </w:tcPr>
          <w:p>
            <w:pPr>
              <w:spacing w:before="0" w:after="60"/>
            </w:pPr>
            <w:r>
              <w:rPr>
                <w:sz w:val="18"/>
                <w:szCs w:val="18"/>
              </w:rPr>
              <w:t xml:space="preserve">Y aquí se conecta con el segundo diagrama: cuando llega un cliente real, es exactamente esta misma tabla la que consulta el motor online para encontrar su tasa.</w:t>
            </w:r>
          </w:p>
        </w:tc>
      </w:tr>
    </w:tbl>
    <w:p>
      <w:pPr>
        <w:spacing w:before="0" w:after="160"/>
      </w:pPr>
    </w:p>
    <w:p>
      <w:pPr>
        <w:spacing w:before="280" w:after="160"/>
      </w:pPr>
      <w:r>
        <w:rPr>
          <w:b/>
          <w:sz w:val="26"/>
          <w:szCs w:val="26"/>
          <w:color w:val="2E74B5"/>
        </w:rPr>
        <w:t xml:space="preserve">Preguntas frecuentes - Diagrama 1 (Batch)</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3200"/>
        <w:gridCol w:w="5800"/>
      </w:tblGrid>
      <w:tr>
        <w:tc>
          <w:tcPr>
            <w:tcW w:w="3200" w:type="dxa"/>
            <w:shd w:val="clear" w:color="auto" w:fill="D9E2F3"/>
            <w:vAlign w:val="top"/>
          </w:tcPr>
          <w:p>
            <w:pPr>
              <w:spacing w:before="0" w:after="60"/>
            </w:pPr>
            <w:r>
              <w:rPr>
                <w:b/>
              </w:rPr>
              <w:t xml:space="preserve">Pregunta probable</w:t>
            </w:r>
          </w:p>
        </w:tc>
        <w:tc>
          <w:tcPr>
            <w:tcW w:w="5800" w:type="dxa"/>
            <w:shd w:val="clear" w:color="auto" w:fill="D9E2F3"/>
            <w:vAlign w:val="top"/>
          </w:tcPr>
          <w:p>
            <w:pPr>
              <w:spacing w:before="0" w:after="60"/>
            </w:pPr>
            <w:r>
              <w:rPr>
                <w:b/>
              </w:rPr>
              <w:t xml:space="preserve">Respuesta corta</w:t>
            </w:r>
          </w:p>
        </w:tc>
      </w:tr>
      <w:tr>
        <w:tc>
          <w:tcPr>
            <w:tcW w:w="3200" w:type="dxa"/>
            <w:vAlign w:val="top"/>
          </w:tcPr>
          <w:p>
            <w:pPr>
              <w:spacing w:before="0" w:after="60"/>
            </w:pPr>
            <w:r>
              <w:rPr>
                <w:sz w:val="18"/>
                <w:szCs w:val="18"/>
              </w:rPr>
              <w:t xml:space="preserve">¿Esto ya está construido o es propuesta?</w:t>
            </w:r>
          </w:p>
        </w:tc>
        <w:tc>
          <w:tcPr>
            <w:tcW w:w="5800" w:type="dxa"/>
            <w:vAlign w:val="top"/>
          </w:tcPr>
          <w:p>
            <w:pPr>
              <w:spacing w:before="0" w:after="60"/>
            </w:pPr>
            <w:r>
              <w:rPr>
                <w:sz w:val="18"/>
                <w:szCs w:val="18"/>
              </w:rPr>
              <w:t xml:space="preserve">La malla batch completa (PUGDRAR1-4, UG4CRAR1, UG4CRAR2) ya existe y corre hoy en producción, para las variables que ya usa. Lo único nuevo es destrabar las posiciones 09/19/21 para Vehículo - es un ajuste puntual, no un desarrollo desde cero.</w:t>
            </w:r>
          </w:p>
        </w:tc>
      </w:tr>
      <w:tr>
        <w:tc>
          <w:tcPr>
            <w:tcW w:w="3200" w:type="dxa"/>
            <w:vAlign w:val="top"/>
          </w:tcPr>
          <w:p>
            <w:pPr>
              <w:spacing w:before="0" w:after="60"/>
            </w:pPr>
            <w:r>
              <w:rPr>
                <w:sz w:val="18"/>
                <w:szCs w:val="18"/>
              </w:rPr>
              <w:t xml:space="preserve">¿Por qué no se calcula la tasa en HOST?</w:t>
            </w:r>
          </w:p>
        </w:tc>
        <w:tc>
          <w:tcPr>
            <w:tcW w:w="5800" w:type="dxa"/>
            <w:vAlign w:val="top"/>
          </w:tcPr>
          <w:p>
            <w:pPr>
              <w:spacing w:before="0" w:after="60"/>
            </w:pPr>
            <w:r>
              <w:rPr>
                <w:sz w:val="18"/>
                <w:szCs w:val="18"/>
              </w:rPr>
              <w:t xml:space="preserve">Porque la decisión de negocio (qué tasa corresponde a cada combinación) ya la toma Rentabilidad antes de mandar el archivo. HOST solo traduce esa decisión a un formato que se pueda buscar rápido (la clave de 23 letras).</w:t>
            </w:r>
          </w:p>
        </w:tc>
      </w:tr>
      <w:tr>
        <w:tc>
          <w:tcPr>
            <w:tcW w:w="3200" w:type="dxa"/>
            <w:vAlign w:val="top"/>
          </w:tcPr>
          <w:p>
            <w:pPr>
              <w:spacing w:before="0" w:after="60"/>
            </w:pPr>
            <w:r>
              <w:rPr>
                <w:sz w:val="18"/>
                <w:szCs w:val="18"/>
              </w:rPr>
              <w:t xml:space="preserve">¿Qué pasa si una combinación no tiene clúster definido?</w:t>
            </w:r>
          </w:p>
        </w:tc>
        <w:tc>
          <w:tcPr>
            <w:tcW w:w="5800" w:type="dxa"/>
            <w:vAlign w:val="top"/>
          </w:tcPr>
          <w:p>
            <w:pPr>
              <w:spacing w:before="0" w:after="60"/>
            </w:pPr>
            <w:r>
              <w:rPr>
                <w:sz w:val="18"/>
                <w:szCs w:val="18"/>
              </w:rPr>
              <w:t xml:space="preserve">Cae en la tasa política del subproducto, sin error visible - es un riesgo real que vale la pena mencionar si preguntan por cobertura.</w:t>
            </w:r>
          </w:p>
        </w:tc>
      </w:tr>
      <w:tr>
        <w:tc>
          <w:tcPr>
            <w:tcW w:w="3200" w:type="dxa"/>
            <w:vAlign w:val="top"/>
          </w:tcPr>
          <w:p>
            <w:pPr>
              <w:spacing w:before="0" w:after="60"/>
            </w:pPr>
            <w:r>
              <w:rPr>
                <w:sz w:val="18"/>
                <w:szCs w:val="18"/>
              </w:rPr>
              <w:t xml:space="preserve">¿Esto aplica igual para las otras líneas (Consumo, Libranza)?</w:t>
            </w:r>
          </w:p>
        </w:tc>
        <w:tc>
          <w:tcPr>
            <w:tcW w:w="5800" w:type="dxa"/>
            <w:vAlign w:val="top"/>
          </w:tcPr>
          <w:p>
            <w:pPr>
              <w:spacing w:before="0" w:after="60"/>
            </w:pPr>
            <w:r>
              <w:rPr>
                <w:sz w:val="18"/>
                <w:szCs w:val="18"/>
              </w:rPr>
              <w:t xml:space="preserve">Sí, es el mismo mecanismo para todas las líneas de producto - Vehículo solo estaba bloqueada por el IF que mencionamos en el paso 5.</w:t>
            </w:r>
          </w:p>
        </w:tc>
      </w:tr>
    </w:tbl>
    <w:p>
      <w:r>
        <w:br w:type="page"/>
      </w:r>
    </w:p>
    <w:p>
      <w:pPr>
        <w:spacing w:before="280" w:after="160"/>
      </w:pPr>
      <w:r>
        <w:rPr>
          <w:b/>
          <w:sz w:val="32"/>
          <w:szCs w:val="32"/>
          <w:color w:val="1F4E79"/>
        </w:rPr>
        <w:t xml:space="preserve">Diagrama 2 - Arquitectura Vehículo Web (frente Online)</w:t>
      </w:r>
    </w:p>
    <w:p>
      <w:pPr>
        <w:spacing w:before="0" w:after="100"/>
      </w:pPr>
      <w:r>
        <w:rPr>
          <w:i/>
          <w:sz w:val="18"/>
          <w:szCs w:val="18"/>
          <w:color w:val="5A6B7E"/>
        </w:rPr>
        <w:t xml:space="preserve">Archivo: Arquitectura_Vehiculo_Web_Completa.drawio</w:t>
      </w:r>
    </w:p>
    <w:p>
      <w:pPr>
        <w:spacing w:before="0" w:after="160"/>
      </w:pPr>
      <w:r>
        <w:t xml:space="preserve">Qué es: el camino completo de un cliente real pidiendo un crédito por la Web, desde la pantalla hasta que HOST le devuelve la tasa. Es el diagrama con más piezas propuestas (no todo existe hoy) - acláralo desde el inicio para que la audiencia distinga qué es hoy y qué es propuesta.</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500"/>
        <w:gridCol w:w="2600"/>
        <w:gridCol w:w="5900"/>
      </w:tblGrid>
      <w:tr>
        <w:tc>
          <w:tcPr>
            <w:tcW w:w="500" w:type="dxa"/>
            <w:shd w:val="clear" w:color="auto" w:fill="D9E2F3"/>
            <w:vAlign w:val="top"/>
          </w:tcPr>
          <w:p>
            <w:pPr>
              <w:spacing w:before="0" w:after="60"/>
            </w:pPr>
            <w:r>
              <w:rPr>
                <w:b/>
              </w:rPr>
              <w:t xml:space="preserve">#</w:t>
            </w:r>
          </w:p>
        </w:tc>
        <w:tc>
          <w:tcPr>
            <w:tcW w:w="2600" w:type="dxa"/>
            <w:shd w:val="clear" w:color="auto" w:fill="D9E2F3"/>
            <w:vAlign w:val="top"/>
          </w:tcPr>
          <w:p>
            <w:pPr>
              <w:spacing w:before="0" w:after="60"/>
            </w:pPr>
            <w:r>
              <w:rPr>
                <w:b/>
              </w:rPr>
              <w:t xml:space="preserve">Qué señalar</w:t>
            </w:r>
          </w:p>
        </w:tc>
        <w:tc>
          <w:tcPr>
            <w:tcW w:w="5900" w:type="dxa"/>
            <w:shd w:val="clear" w:color="auto" w:fill="D9E2F3"/>
            <w:vAlign w:val="top"/>
          </w:tcPr>
          <w:p>
            <w:pPr>
              <w:spacing w:before="0" w:after="60"/>
            </w:pPr>
            <w:r>
              <w:rPr>
                <w:b/>
              </w:rPr>
              <w:t xml:space="preserve">Qué decir</w:t>
            </w:r>
          </w:p>
        </w:tc>
      </w:tr>
      <w:tr>
        <w:tc>
          <w:tcPr>
            <w:tcW w:w="500" w:type="dxa"/>
            <w:vAlign w:val="top"/>
          </w:tcPr>
          <w:p>
            <w:pPr>
              <w:spacing w:before="0" w:after="60"/>
            </w:pPr>
            <w:r>
              <w:rPr>
                <w:sz w:val="18"/>
                <w:szCs w:val="18"/>
              </w:rPr>
              <w:t xml:space="preserve">1</w:t>
            </w:r>
          </w:p>
        </w:tc>
        <w:tc>
          <w:tcPr>
            <w:tcW w:w="2600" w:type="dxa"/>
            <w:vAlign w:val="top"/>
          </w:tcPr>
          <w:p>
            <w:pPr>
              <w:spacing w:before="0" w:after="60"/>
            </w:pPr>
            <w:r>
              <w:rPr>
                <w:sz w:val="18"/>
                <w:szCs w:val="18"/>
              </w:rPr>
              <w:t xml:space="preserve">Mockup del Front (tarjeta blanca, “Simula tu Crédito de Vehículo”)</w:t>
            </w:r>
          </w:p>
        </w:tc>
        <w:tc>
          <w:tcPr>
            <w:tcW w:w="5900" w:type="dxa"/>
            <w:vAlign w:val="top"/>
          </w:tcPr>
          <w:p>
            <w:pPr>
              <w:spacing w:before="0" w:after="60"/>
            </w:pPr>
            <w:r>
              <w:rPr>
                <w:sz w:val="18"/>
                <w:szCs w:val="18"/>
              </w:rPr>
              <w:t xml:space="preserve">Esta es la pantalla real del prototipo. Los campos de arriba (Tipo, Estado, Modelo, Valor del vehículo, Valor a financiar, Plazo) ya existen hoy y funcionan.</w:t>
            </w:r>
          </w:p>
        </w:tc>
      </w:tr>
      <w:tr>
        <w:tc>
          <w:tcPr>
            <w:tcW w:w="500" w:type="dxa"/>
            <w:vAlign w:val="top"/>
          </w:tcPr>
          <w:p>
            <w:pPr>
              <w:spacing w:before="0" w:after="60"/>
            </w:pPr>
            <w:r>
              <w:rPr>
                <w:sz w:val="18"/>
                <w:szCs w:val="18"/>
              </w:rPr>
              <w:t xml:space="preserve">2</w:t>
            </w:r>
          </w:p>
        </w:tc>
        <w:tc>
          <w:tcPr>
            <w:tcW w:w="2600" w:type="dxa"/>
            <w:vAlign w:val="top"/>
          </w:tcPr>
          <w:p>
            <w:pPr>
              <w:spacing w:before="0" w:after="60"/>
            </w:pPr>
            <w:r>
              <w:rPr>
                <w:sz w:val="18"/>
                <w:szCs w:val="18"/>
              </w:rPr>
              <w:t xml:space="preserve">Separador rojo “Variables nuevas del proyecto” y los 4 campos debajo</w:t>
            </w:r>
          </w:p>
        </w:tc>
        <w:tc>
          <w:tcPr>
            <w:tcW w:w="5900" w:type="dxa"/>
            <w:vAlign w:val="top"/>
          </w:tcPr>
          <w:p>
            <w:pPr>
              <w:spacing w:before="0" w:after="60"/>
            </w:pPr>
            <w:r>
              <w:rPr>
                <w:sz w:val="18"/>
                <w:szCs w:val="18"/>
              </w:rPr>
              <w:t xml:space="preserve">LTV no es un campo nuevo, es un cálculo nuevo: los dos datos que necesita (valor del vehículo y valor a financiar) ya están arriba, solo falta programar la cuenta y enviarla. Combustible ya existe en otra pantalla, solo le falta la opción “Otros”. Concesionario y Garantía/Prenda sí son campos nuevos que hay que construir.</w:t>
            </w:r>
          </w:p>
        </w:tc>
      </w:tr>
      <w:tr>
        <w:tc>
          <w:tcPr>
            <w:tcW w:w="500" w:type="dxa"/>
            <w:vAlign w:val="top"/>
          </w:tcPr>
          <w:p>
            <w:pPr>
              <w:spacing w:before="0" w:after="60"/>
            </w:pPr>
            <w:r>
              <w:rPr>
                <w:sz w:val="18"/>
                <w:szCs w:val="18"/>
              </w:rPr>
              <w:t xml:space="preserve">3</w:t>
            </w:r>
          </w:p>
        </w:tc>
        <w:tc>
          <w:tcPr>
            <w:tcW w:w="2600" w:type="dxa"/>
            <w:vAlign w:val="top"/>
          </w:tcPr>
          <w:p>
            <w:pPr>
              <w:spacing w:before="0" w:after="60"/>
            </w:pPr>
            <w:r>
              <w:rPr>
                <w:sz w:val="18"/>
                <w:szCs w:val="18"/>
              </w:rPr>
              <w:t xml:space="preserve">Paquete rojo “Servicio de resolución de parametría (nuevo, a construir)”</w:t>
            </w:r>
          </w:p>
        </w:tc>
        <w:tc>
          <w:tcPr>
            <w:tcW w:w="5900" w:type="dxa"/>
            <w:vAlign w:val="top"/>
          </w:tcPr>
          <w:p>
            <w:pPr>
              <w:spacing w:before="0" w:after="60"/>
            </w:pPr>
            <w:r>
              <w:rPr>
                <w:sz w:val="18"/>
                <w:szCs w:val="18"/>
              </w:rPr>
              <w:t xml:space="preserve">Esta es la pieza que no existe hoy: un servicio que, antes de llamar a HOST, resuelve 3 cosas - a qué Grupo de comisión pertenece el concesionario elegido, si el subproducto obliga Nuevo o Usado (hay casos donde eso no lo elige el cliente), y cuáles son los tramos de LTV vigentes en este momento.</w:t>
            </w:r>
          </w:p>
        </w:tc>
      </w:tr>
      <w:tr>
        <w:tc>
          <w:tcPr>
            <w:tcW w:w="500" w:type="dxa"/>
            <w:vAlign w:val="top"/>
          </w:tcPr>
          <w:p>
            <w:pPr>
              <w:spacing w:before="0" w:after="60"/>
            </w:pPr>
            <w:r>
              <w:rPr>
                <w:sz w:val="18"/>
                <w:szCs w:val="18"/>
              </w:rPr>
              <w:t xml:space="preserve">4</w:t>
            </w:r>
          </w:p>
        </w:tc>
        <w:tc>
          <w:tcPr>
            <w:tcW w:w="2600" w:type="dxa"/>
            <w:vAlign w:val="top"/>
          </w:tcPr>
          <w:p>
            <w:pPr>
              <w:spacing w:before="0" w:after="60"/>
            </w:pPr>
            <w:r>
              <w:rPr>
                <w:sz w:val="18"/>
                <w:szCs w:val="18"/>
              </w:rPr>
              <w:t xml:space="preserve">Paquete verde “Parametría Oracle / LRBA” - Control-M y LRBA</w:t>
            </w:r>
          </w:p>
        </w:tc>
        <w:tc>
          <w:tcPr>
            <w:tcW w:w="5900" w:type="dxa"/>
            <w:vAlign w:val="top"/>
          </w:tcPr>
          <w:p>
            <w:pPr>
              <w:spacing w:before="0" w:after="60"/>
            </w:pPr>
            <w:r>
              <w:rPr>
                <w:sz w:val="18"/>
                <w:szCs w:val="18"/>
              </w:rPr>
              <w:t xml:space="preserve">Esta es la arquitectura real de la casa, confirmada por Ingeniería: un proceso batch llamado LRBA, disparado por Control-M, lee parametría de HOST y la replica a Oracle todos los días.</w:t>
            </w:r>
          </w:p>
        </w:tc>
      </w:tr>
      <w:tr>
        <w:tc>
          <w:tcPr>
            <w:tcW w:w="500" w:type="dxa"/>
            <w:vAlign w:val="top"/>
          </w:tcPr>
          <w:p>
            <w:pPr>
              <w:spacing w:before="0" w:after="60"/>
            </w:pPr>
            <w:r>
              <w:rPr>
                <w:sz w:val="18"/>
                <w:szCs w:val="18"/>
              </w:rPr>
              <w:t xml:space="preserve">5</w:t>
            </w:r>
          </w:p>
        </w:tc>
        <w:tc>
          <w:tcPr>
            <w:tcW w:w="2600" w:type="dxa"/>
            <w:vAlign w:val="top"/>
          </w:tcPr>
          <w:p>
            <w:pPr>
              <w:spacing w:before="0" w:after="60"/>
            </w:pPr>
            <w:r>
              <w:rPr>
                <w:sz w:val="18"/>
                <w:szCs w:val="18"/>
              </w:rPr>
              <w:t xml:space="preserve">Las tarjetas 9968 / 9969 / 9970 / 9971 / 9972 (cilindros ámbar)</w:t>
            </w:r>
          </w:p>
        </w:tc>
        <w:tc>
          <w:tcPr>
            <w:tcW w:w="5900" w:type="dxa"/>
            <w:vAlign w:val="top"/>
          </w:tcPr>
          <w:p>
            <w:pPr>
              <w:spacing w:before="0" w:after="60"/>
            </w:pPr>
            <w:r>
              <w:rPr>
                <w:sz w:val="18"/>
                <w:szCs w:val="18"/>
              </w:rPr>
              <w:t xml:space="preserve">Estas son las secciones nuevas que se crean en HOST y se replican a Oracle por igual: 9968 Prenda, 9969 Grupo de comisión (equivalente al “1317” que ya se había bocetado en una sesión previa de arquitectura), 9970 Combustible, 9971 Nuevo/Usado por subproducto, 9972 los rangos vigentes de LTV. Cada una tiene su ejemplo de contenido real al estilo NIT/subproducto → valor.</w:t>
            </w:r>
          </w:p>
        </w:tc>
      </w:tr>
      <w:tr>
        <w:tc>
          <w:tcPr>
            <w:tcW w:w="500" w:type="dxa"/>
            <w:vAlign w:val="top"/>
          </w:tcPr>
          <w:p>
            <w:pPr>
              <w:spacing w:before="0" w:after="60"/>
            </w:pPr>
            <w:r>
              <w:rPr>
                <w:sz w:val="18"/>
                <w:szCs w:val="18"/>
              </w:rPr>
              <w:t xml:space="preserve">6</w:t>
            </w:r>
          </w:p>
        </w:tc>
        <w:tc>
          <w:tcPr>
            <w:tcW w:w="2600" w:type="dxa"/>
            <w:vAlign w:val="top"/>
          </w:tcPr>
          <w:p>
            <w:pPr>
              <w:spacing w:before="0" w:after="60"/>
            </w:pPr>
            <w:r>
              <w:rPr>
                <w:sz w:val="18"/>
                <w:szCs w:val="18"/>
              </w:rPr>
              <w:t xml:space="preserve">Nota gris “1314-VE (ya existe hoy)”</w:t>
            </w:r>
          </w:p>
        </w:tc>
        <w:tc>
          <w:tcPr>
            <w:tcW w:w="5900" w:type="dxa"/>
            <w:vAlign w:val="top"/>
          </w:tcPr>
          <w:p>
            <w:pPr>
              <w:spacing w:before="0" w:after="60"/>
            </w:pPr>
            <w:r>
              <w:rPr>
                <w:sz w:val="18"/>
                <w:szCs w:val="18"/>
              </w:rPr>
              <w:t xml:space="preserve">Esta sección ya existe y no es parte del proyecto - pero encontramos algo útil: ya trae el dato de si un subproducto es Nuevo o Usado (atributo PLEDGESTATUS), así que puede que ni haga falta mantener la sección 9971 aparte. Está marcado como pendiente de confirmar.</w:t>
            </w:r>
          </w:p>
        </w:tc>
      </w:tr>
      <w:tr>
        <w:tc>
          <w:tcPr>
            <w:tcW w:w="500" w:type="dxa"/>
            <w:vAlign w:val="top"/>
          </w:tcPr>
          <w:p>
            <w:pPr>
              <w:spacing w:before="0" w:after="60"/>
            </w:pPr>
            <w:r>
              <w:rPr>
                <w:sz w:val="18"/>
                <w:szCs w:val="18"/>
              </w:rPr>
              <w:t xml:space="preserve">7</w:t>
            </w:r>
          </w:p>
        </w:tc>
        <w:tc>
          <w:tcPr>
            <w:tcW w:w="2600" w:type="dxa"/>
            <w:vAlign w:val="top"/>
          </w:tcPr>
          <w:p>
            <w:pPr>
              <w:spacing w:before="0" w:after="60"/>
            </w:pPr>
            <w:r>
              <w:rPr>
                <w:sz w:val="18"/>
                <w:szCs w:val="18"/>
              </w:rPr>
              <w:t xml:space="preserve">Cilindros T_CUGH_PARAMETRY y T_CUGH_CONCESIONARIO</w:t>
            </w:r>
          </w:p>
        </w:tc>
        <w:tc>
          <w:tcPr>
            <w:tcW w:w="5900" w:type="dxa"/>
            <w:vAlign w:val="top"/>
          </w:tcPr>
          <w:p>
            <w:pPr>
              <w:spacing w:before="0" w:after="60"/>
            </w:pPr>
            <w:r>
              <w:rPr>
                <w:sz w:val="18"/>
                <w:szCs w:val="18"/>
              </w:rPr>
              <w:t xml:space="preserve">Son las dos tablas Oracle donde cae la réplica: una genérica (con todas las secciones, en formato crudo) y una estructurada, armada solo para consultar NIT → Grupo más fácil.</w:t>
            </w:r>
          </w:p>
        </w:tc>
      </w:tr>
      <w:tr>
        <w:tc>
          <w:tcPr>
            <w:tcW w:w="500" w:type="dxa"/>
            <w:vAlign w:val="top"/>
          </w:tcPr>
          <w:p>
            <w:pPr>
              <w:spacing w:before="0" w:after="60"/>
            </w:pPr>
            <w:r>
              <w:rPr>
                <w:sz w:val="18"/>
                <w:szCs w:val="18"/>
              </w:rPr>
              <w:t xml:space="preserve">8</w:t>
            </w:r>
          </w:p>
        </w:tc>
        <w:tc>
          <w:tcPr>
            <w:tcW w:w="2600" w:type="dxa"/>
            <w:vAlign w:val="top"/>
          </w:tcPr>
          <w:p>
            <w:pPr>
              <w:spacing w:before="0" w:after="60"/>
            </w:pPr>
            <w:r>
              <w:rPr>
                <w:sz w:val="18"/>
                <w:szCs w:val="18"/>
              </w:rPr>
              <w:t xml:space="preserve">Paquete verde “Capa Digital / APIs - CUGH (ASO)”</w:t>
            </w:r>
          </w:p>
        </w:tc>
        <w:tc>
          <w:tcPr>
            <w:tcW w:w="5900" w:type="dxa"/>
            <w:vAlign w:val="top"/>
          </w:tcPr>
          <w:p>
            <w:pPr>
              <w:spacing w:before="0" w:after="60"/>
            </w:pPr>
            <w:r>
              <w:rPr>
                <w:sz w:val="18"/>
                <w:szCs w:val="18"/>
              </w:rPr>
              <w:t xml:space="preserve">Una vez el Front ya resolvió todo (LTV calculado, combustible, grupo, prenda), manda el payload completo a estas 4 operaciones - son las mismas que vimos en la revisión técnica de APIs.</w:t>
            </w:r>
          </w:p>
        </w:tc>
      </w:tr>
      <w:tr>
        <w:tc>
          <w:tcPr>
            <w:tcW w:w="500" w:type="dxa"/>
            <w:vAlign w:val="top"/>
          </w:tcPr>
          <w:p>
            <w:pPr>
              <w:spacing w:before="0" w:after="60"/>
            </w:pPr>
            <w:r>
              <w:rPr>
                <w:sz w:val="18"/>
                <w:szCs w:val="18"/>
              </w:rPr>
              <w:t xml:space="preserve">9</w:t>
            </w:r>
          </w:p>
        </w:tc>
        <w:tc>
          <w:tcPr>
            <w:tcW w:w="2600" w:type="dxa"/>
            <w:vAlign w:val="top"/>
          </w:tcPr>
          <w:p>
            <w:pPr>
              <w:spacing w:before="0" w:after="60"/>
            </w:pPr>
            <w:r>
              <w:rPr>
                <w:sz w:val="18"/>
                <w:szCs w:val="18"/>
              </w:rPr>
              <w:t xml:space="preserve">Puente HOST (APX) y motor de tasa HOST (UR7CCRAR → UG7CCNRA → UGDTNRA)</w:t>
            </w:r>
          </w:p>
        </w:tc>
        <w:tc>
          <w:tcPr>
            <w:tcW w:w="5900" w:type="dxa"/>
            <w:vAlign w:val="top"/>
          </w:tcPr>
          <w:p>
            <w:pPr>
              <w:spacing w:before="0" w:after="60"/>
            </w:pPr>
            <w:r>
              <w:rPr>
                <w:sz w:val="18"/>
                <w:szCs w:val="18"/>
              </w:rPr>
              <w:t xml:space="preserve">De aquí en adelante es exactamente el mismo mecanismo del diagrama de batch: UG7CCNRA arma la clave de 23 letras del cliente y la busca en la misma tabla UGDTNRA que vimos antes.</w:t>
            </w:r>
          </w:p>
        </w:tc>
      </w:tr>
      <w:tr>
        <w:tc>
          <w:tcPr>
            <w:tcW w:w="500" w:type="dxa"/>
            <w:vAlign w:val="top"/>
          </w:tcPr>
          <w:p>
            <w:pPr>
              <w:spacing w:before="0" w:after="60"/>
            </w:pPr>
            <w:r>
              <w:rPr>
                <w:sz w:val="18"/>
                <w:szCs w:val="18"/>
              </w:rPr>
              <w:t xml:space="preserve">10</w:t>
            </w:r>
          </w:p>
        </w:tc>
        <w:tc>
          <w:tcPr>
            <w:tcW w:w="2600" w:type="dxa"/>
            <w:vAlign w:val="top"/>
          </w:tcPr>
          <w:p>
            <w:pPr>
              <w:spacing w:before="0" w:after="60"/>
            </w:pPr>
            <w:r>
              <w:rPr>
                <w:sz w:val="18"/>
                <w:szCs w:val="18"/>
              </w:rPr>
              <w:t xml:space="preserve">Cilindro morado “UGDTT37 - tablas paramétricas” (columna derecha, dentro de HOST)</w:t>
            </w:r>
          </w:p>
        </w:tc>
        <w:tc>
          <w:tcPr>
            <w:tcW w:w="5900" w:type="dxa"/>
            <w:vAlign w:val="top"/>
          </w:tcPr>
          <w:p>
            <w:pPr>
              <w:spacing w:before="0" w:after="60"/>
            </w:pPr>
            <w:r>
              <w:rPr>
                <w:sz w:val="18"/>
                <w:szCs w:val="18"/>
              </w:rPr>
              <w:t xml:space="preserve">Prenda y Combustible se resuelven directo aquí, en HOST, sin pasar por el servicio de resolución - es el mismo mecanismo confirmado que ya vimos en el diagrama de batch.</w:t>
            </w:r>
          </w:p>
        </w:tc>
      </w:tr>
      <w:tr>
        <w:tc>
          <w:tcPr>
            <w:tcW w:w="500" w:type="dxa"/>
            <w:vAlign w:val="top"/>
          </w:tcPr>
          <w:p>
            <w:pPr>
              <w:spacing w:before="0" w:after="60"/>
            </w:pPr>
            <w:r>
              <w:rPr>
                <w:sz w:val="18"/>
                <w:szCs w:val="18"/>
              </w:rPr>
              <w:t xml:space="preserve">11</w:t>
            </w:r>
          </w:p>
        </w:tc>
        <w:tc>
          <w:tcPr>
            <w:tcW w:w="2600" w:type="dxa"/>
            <w:vAlign w:val="top"/>
          </w:tcPr>
          <w:p>
            <w:pPr>
              <w:spacing w:before="0" w:after="60"/>
            </w:pPr>
            <w:r>
              <w:rPr>
                <w:sz w:val="18"/>
                <w:szCs w:val="18"/>
              </w:rPr>
              <w:t xml:space="preserve">Caja verde final “Mecanismo ya definido para las 5 variables”</w:t>
            </w:r>
          </w:p>
        </w:tc>
        <w:tc>
          <w:tcPr>
            <w:tcW w:w="5900" w:type="dxa"/>
            <w:vAlign w:val="top"/>
          </w:tcPr>
          <w:p>
            <w:pPr>
              <w:spacing w:before="0" w:after="60"/>
            </w:pPr>
            <w:r>
              <w:rPr>
                <w:sz w:val="18"/>
                <w:szCs w:val="18"/>
              </w:rPr>
              <w:t xml:space="preserve">Para cerrar: resumimos que las 5 variables ya tienen un mecanismo pensado, aunque con distinto momento de resolución - dos se resuelven en HOST (Prenda, Combustible) y tres se resuelven antes, en el Front/Oracle (Grupo, Nuevo/Usado, LTV).</w:t>
            </w:r>
          </w:p>
        </w:tc>
      </w:tr>
    </w:tbl>
    <w:p>
      <w:pPr>
        <w:spacing w:before="0" w:after="160"/>
      </w:pPr>
    </w:p>
    <w:p>
      <w:pPr>
        <w:spacing w:before="280" w:after="160"/>
      </w:pPr>
      <w:r>
        <w:rPr>
          <w:b/>
          <w:sz w:val="26"/>
          <w:szCs w:val="26"/>
          <w:color w:val="2E74B5"/>
        </w:rPr>
        <w:t xml:space="preserve">Preguntas frecuentes - Diagrama 2 (Online/Web)</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3200"/>
        <w:gridCol w:w="5800"/>
      </w:tblGrid>
      <w:tr>
        <w:tc>
          <w:tcPr>
            <w:tcW w:w="3200" w:type="dxa"/>
            <w:shd w:val="clear" w:color="auto" w:fill="D9E2F3"/>
            <w:vAlign w:val="top"/>
          </w:tcPr>
          <w:p>
            <w:pPr>
              <w:spacing w:before="0" w:after="60"/>
            </w:pPr>
            <w:r>
              <w:rPr>
                <w:b/>
              </w:rPr>
              <w:t xml:space="preserve">Pregunta probable</w:t>
            </w:r>
          </w:p>
        </w:tc>
        <w:tc>
          <w:tcPr>
            <w:tcW w:w="5800" w:type="dxa"/>
            <w:shd w:val="clear" w:color="auto" w:fill="D9E2F3"/>
            <w:vAlign w:val="top"/>
          </w:tcPr>
          <w:p>
            <w:pPr>
              <w:spacing w:before="0" w:after="60"/>
            </w:pPr>
            <w:r>
              <w:rPr>
                <w:b/>
              </w:rPr>
              <w:t xml:space="preserve">Respuesta corta</w:t>
            </w:r>
          </w:p>
        </w:tc>
      </w:tr>
      <w:tr>
        <w:tc>
          <w:tcPr>
            <w:tcW w:w="3200" w:type="dxa"/>
            <w:vAlign w:val="top"/>
          </w:tcPr>
          <w:p>
            <w:pPr>
              <w:spacing w:before="0" w:after="60"/>
            </w:pPr>
            <w:r>
              <w:rPr>
                <w:sz w:val="18"/>
                <w:szCs w:val="18"/>
              </w:rPr>
              <w:t xml:space="preserve">¿Cuánto de esto ya existe hoy?</w:t>
            </w:r>
          </w:p>
        </w:tc>
        <w:tc>
          <w:tcPr>
            <w:tcW w:w="5800" w:type="dxa"/>
            <w:vAlign w:val="top"/>
          </w:tcPr>
          <w:p>
            <w:pPr>
              <w:spacing w:before="0" w:after="60"/>
            </w:pPr>
            <w:r>
              <w:rPr>
                <w:sz w:val="18"/>
                <w:szCs w:val="18"/>
              </w:rPr>
              <w:t xml:space="preserve">El Front base (los 6 campos de arriba) y el motor HOST (UR7CCRAR, UG7CCNRA, UGDTNRA) ya existen. El Servicio de resolución, las 5 secciones nuevas de parametría, y la tabla T_CUGH_CONCESIONARIO son propuesta - no están construidos todavía.</w:t>
            </w:r>
          </w:p>
        </w:tc>
      </w:tr>
      <w:tr>
        <w:tc>
          <w:tcPr>
            <w:tcW w:w="3200" w:type="dxa"/>
            <w:vAlign w:val="top"/>
          </w:tcPr>
          <w:p>
            <w:pPr>
              <w:spacing w:before="0" w:after="60"/>
            </w:pPr>
            <w:r>
              <w:rPr>
                <w:sz w:val="18"/>
                <w:szCs w:val="18"/>
              </w:rPr>
              <w:t xml:space="preserve">¿Por qué Prenda y Combustible se resuelven distinto a Grupo?</w:t>
            </w:r>
          </w:p>
        </w:tc>
        <w:tc>
          <w:tcPr>
            <w:tcW w:w="5800" w:type="dxa"/>
            <w:vAlign w:val="top"/>
          </w:tcPr>
          <w:p>
            <w:pPr>
              <w:spacing w:before="0" w:after="60"/>
            </w:pPr>
            <w:r>
              <w:rPr>
                <w:sz w:val="18"/>
                <w:szCs w:val="18"/>
              </w:rPr>
              <w:t xml:space="preserve">Porque Prenda/Combustible dependen de datos que ya tiene el mismo HOST en su propia base (DB2), mientras que Grupo depende del concesionario que elige el cliente en el Front - ese dato necesita resolverse antes, en la capa digital, para poder mostrárselo al cliente en pantalla.</w:t>
            </w:r>
          </w:p>
        </w:tc>
      </w:tr>
      <w:tr>
        <w:tc>
          <w:tcPr>
            <w:tcW w:w="3200" w:type="dxa"/>
            <w:vAlign w:val="top"/>
          </w:tcPr>
          <w:p>
            <w:pPr>
              <w:spacing w:before="0" w:after="60"/>
            </w:pPr>
            <w:r>
              <w:rPr>
                <w:sz w:val="18"/>
                <w:szCs w:val="18"/>
              </w:rPr>
              <w:t xml:space="preserve">¿Qué pasa si el concesionario no está parametrizado?</w:t>
            </w:r>
          </w:p>
        </w:tc>
        <w:tc>
          <w:tcPr>
            <w:tcW w:w="5800" w:type="dxa"/>
            <w:vAlign w:val="top"/>
          </w:tcPr>
          <w:p>
            <w:pPr>
              <w:spacing w:before="0" w:after="60"/>
            </w:pPr>
            <w:r>
              <w:rPr>
                <w:sz w:val="18"/>
                <w:szCs w:val="18"/>
              </w:rPr>
              <w:t xml:space="preserve">Está contemplado un valor DEFAULT en la sección 9969 - pero el criterio de negocio de qué grupo le toca a un concesionario nuevo todavía no está definido, es una pregunta abierta con Negocio.</w:t>
            </w:r>
          </w:p>
        </w:tc>
      </w:tr>
      <w:tr>
        <w:tc>
          <w:tcPr>
            <w:tcW w:w="3200" w:type="dxa"/>
            <w:vAlign w:val="top"/>
          </w:tcPr>
          <w:p>
            <w:pPr>
              <w:spacing w:before="0" w:after="60"/>
            </w:pPr>
            <w:r>
              <w:rPr>
                <w:sz w:val="18"/>
                <w:szCs w:val="18"/>
              </w:rPr>
              <w:t xml:space="preserve">¿Quién construye el Servicio de resolución?</w:t>
            </w:r>
          </w:p>
        </w:tc>
        <w:tc>
          <w:tcPr>
            <w:tcW w:w="5800" w:type="dxa"/>
            <w:vAlign w:val="top"/>
          </w:tcPr>
          <w:p>
            <w:pPr>
              <w:spacing w:before="0" w:after="60"/>
            </w:pPr>
            <w:r>
              <w:rPr>
                <w:sz w:val="18"/>
                <w:szCs w:val="18"/>
              </w:rPr>
              <w:t xml:space="preserve">Todavía no está asignado - es la pieza más nueva del diagrama y depende de si el equipo de APIs/digital o el equipo Web la asume.</w:t>
            </w:r>
          </w:p>
        </w:tc>
      </w:tr>
      <w:tr>
        <w:tc>
          <w:tcPr>
            <w:tcW w:w="3200" w:type="dxa"/>
            <w:vAlign w:val="top"/>
          </w:tcPr>
          <w:p>
            <w:pPr>
              <w:spacing w:before="0" w:after="60"/>
            </w:pPr>
            <w:r>
              <w:rPr>
                <w:sz w:val="18"/>
                <w:szCs w:val="18"/>
              </w:rPr>
              <w:t xml:space="preserve">¿Los números de sección (9968-9972) son definitivos?</w:t>
            </w:r>
          </w:p>
        </w:tc>
        <w:tc>
          <w:tcPr>
            <w:tcW w:w="5800" w:type="dxa"/>
            <w:vAlign w:val="top"/>
          </w:tcPr>
          <w:p>
            <w:pPr>
              <w:spacing w:before="0" w:after="60"/>
            </w:pPr>
            <w:r>
              <w:rPr>
                <w:sz w:val="18"/>
                <w:szCs w:val="18"/>
              </w:rPr>
              <w:t xml:space="preserve">No, son ilustrativos. El número real se asigna al registrarlos en UMTA - lo importante es el mecanismo, no el número exacto.</w:t>
            </w:r>
          </w:p>
        </w:tc>
      </w:tr>
    </w:tbl>
    <w:p>
      <w:r>
        <w:br w:type="page"/>
      </w:r>
    </w:p>
    <w:p>
      <w:pPr>
        <w:spacing w:before="280" w:after="160"/>
      </w:pPr>
      <w:r>
        <w:rPr>
          <w:b/>
          <w:sz w:val="32"/>
          <w:szCs w:val="32"/>
          <w:color w:val="1F4E79"/>
        </w:rPr>
        <w:t xml:space="preserve">Diagrama 3 - ¿Cómo viaja la Web a los subproductos y trae la información?</w:t>
      </w:r>
    </w:p>
    <w:p>
      <w:pPr>
        <w:spacing w:before="0" w:after="100"/>
      </w:pPr>
      <w:r>
        <w:rPr>
          <w:i/>
          <w:sz w:val="18"/>
          <w:szCs w:val="18"/>
          <w:color w:val="5A6B7E"/>
        </w:rPr>
        <w:t xml:space="preserve">Archivo: Flujo_Subproducto_Vehiculo_Web.drawio</w:t>
      </w:r>
    </w:p>
    <w:p>
      <w:pPr>
        <w:spacing w:before="0" w:after="160"/>
      </w:pPr>
      <w:r>
        <w:t xml:space="preserve">Qué es: un zoom dedicado a la pregunta que más se repite sobre las variables nuevas - “¿de dónde sale cada una y en qué momento se llena?”. No reemplaza al Diagrama 2, lo complementa: toma un caso de cliente real de punta a punta (subproducto 4081) y sigue 6 momentos numerados (① a ⑥) marcados directamente en las flechas del diagrama - úsalos como hilo conductor al presentar.</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500"/>
        <w:gridCol w:w="2800"/>
        <w:gridCol w:w="5700"/>
      </w:tblGrid>
      <w:tr>
        <w:tc>
          <w:tcPr>
            <w:tcW w:w="500" w:type="dxa"/>
            <w:shd w:val="clear" w:color="auto" w:fill="D9E2F3"/>
            <w:vAlign w:val="top"/>
          </w:tcPr>
          <w:p>
            <w:pPr>
              <w:spacing w:before="0" w:after="60"/>
            </w:pPr>
            <w:r>
              <w:rPr>
                <w:b/>
              </w:rPr>
              <w:t xml:space="preserve">#</w:t>
            </w:r>
          </w:p>
        </w:tc>
        <w:tc>
          <w:tcPr>
            <w:tcW w:w="2800" w:type="dxa"/>
            <w:shd w:val="clear" w:color="auto" w:fill="D9E2F3"/>
            <w:vAlign w:val="top"/>
          </w:tcPr>
          <w:p>
            <w:pPr>
              <w:spacing w:before="0" w:after="60"/>
            </w:pPr>
            <w:r>
              <w:rPr>
                <w:b/>
              </w:rPr>
              <w:t xml:space="preserve">Qué señalar</w:t>
            </w:r>
          </w:p>
        </w:tc>
        <w:tc>
          <w:tcPr>
            <w:tcW w:w="5700" w:type="dxa"/>
            <w:shd w:val="clear" w:color="auto" w:fill="D9E2F3"/>
            <w:vAlign w:val="top"/>
          </w:tcPr>
          <w:p>
            <w:pPr>
              <w:spacing w:before="0" w:after="60"/>
            </w:pPr>
            <w:r>
              <w:rPr>
                <w:b/>
              </w:rPr>
              <w:t xml:space="preserve">Qué decir</w:t>
            </w:r>
          </w:p>
        </w:tc>
      </w:tr>
      <w:tr>
        <w:tc>
          <w:tcPr>
            <w:tcW w:w="500" w:type="dxa"/>
            <w:vAlign w:val="top"/>
          </w:tcPr>
          <w:p>
            <w:pPr>
              <w:spacing w:before="0" w:after="60"/>
            </w:pPr>
            <w:r>
              <w:rPr>
                <w:sz w:val="17"/>
                <w:szCs w:val="17"/>
              </w:rPr>
              <w:t xml:space="preserve">1</w:t>
            </w:r>
          </w:p>
        </w:tc>
        <w:tc>
          <w:tcPr>
            <w:tcW w:w="2800" w:type="dxa"/>
            <w:vAlign w:val="top"/>
          </w:tcPr>
          <w:p>
            <w:pPr>
              <w:spacing w:before="0" w:after="60"/>
            </w:pPr>
            <w:r>
              <w:rPr>
                <w:sz w:val="17"/>
                <w:szCs w:val="17"/>
              </w:rPr>
              <w:t xml:space="preserve">Leyenda de secuencia (franja superior, números ①-⑥)</w:t>
            </w:r>
          </w:p>
        </w:tc>
        <w:tc>
          <w:tcPr>
            <w:tcW w:w="5700" w:type="dxa"/>
            <w:vAlign w:val="top"/>
          </w:tcPr>
          <w:p>
            <w:pPr>
              <w:spacing w:before="0" w:after="60"/>
            </w:pPr>
            <w:r>
              <w:rPr>
                <w:sz w:val="17"/>
                <w:szCs w:val="17"/>
              </w:rPr>
              <w:t xml:space="preserve">Antes de entrar en el detalle: este diagrama tiene 6 momentos en el tiempo, numerados, que van a ir apareciendo en las flechas. Es el hilo conductor de todo el recorrido.</w:t>
            </w:r>
          </w:p>
        </w:tc>
      </w:tr>
      <w:tr>
        <w:tc>
          <w:tcPr>
            <w:tcW w:w="500" w:type="dxa"/>
            <w:vAlign w:val="top"/>
          </w:tcPr>
          <w:p>
            <w:pPr>
              <w:spacing w:before="0" w:after="60"/>
            </w:pPr>
            <w:r>
              <w:rPr>
                <w:sz w:val="17"/>
                <w:szCs w:val="17"/>
              </w:rPr>
              <w:t xml:space="preserve">2</w:t>
            </w:r>
          </w:p>
        </w:tc>
        <w:tc>
          <w:tcPr>
            <w:tcW w:w="2800" w:type="dxa"/>
            <w:vAlign w:val="top"/>
          </w:tcPr>
          <w:p>
            <w:pPr>
              <w:spacing w:before="0" w:after="60"/>
            </w:pPr>
            <w:r>
              <w:rPr>
                <w:sz w:val="17"/>
                <w:szCs w:val="17"/>
              </w:rPr>
              <w:t xml:space="preserve">Mock de la pantalla (Front, columna izquierda)</w:t>
            </w:r>
          </w:p>
        </w:tc>
        <w:tc>
          <w:tcPr>
            <w:tcW w:w="5700" w:type="dxa"/>
            <w:vAlign w:val="top"/>
          </w:tcPr>
          <w:p>
            <w:pPr>
              <w:spacing w:before="0" w:after="60"/>
            </w:pPr>
            <w:r>
              <w:rPr>
                <w:sz w:val="17"/>
                <w:szCs w:val="17"/>
              </w:rPr>
              <w:t xml:space="preserve">Es el mismo mock del Diagrama 2, pero aquí lo llenamos con un caso real completo - incluyendo Ingresos y Buró, que son los datos que hacen falta para decidir el subproducto y que no resaltamos antes.</w:t>
            </w:r>
          </w:p>
        </w:tc>
      </w:tr>
      <w:tr>
        <w:tc>
          <w:tcPr>
            <w:tcW w:w="500" w:type="dxa"/>
            <w:vAlign w:val="top"/>
          </w:tcPr>
          <w:p>
            <w:pPr>
              <w:spacing w:before="0" w:after="60"/>
            </w:pPr>
            <w:r>
              <w:rPr>
                <w:sz w:val="17"/>
                <w:szCs w:val="17"/>
              </w:rPr>
              <w:t xml:space="preserve">3</w:t>
            </w:r>
          </w:p>
        </w:tc>
        <w:tc>
          <w:tcPr>
            <w:tcW w:w="2800" w:type="dxa"/>
            <w:vAlign w:val="top"/>
          </w:tcPr>
          <w:p>
            <w:pPr>
              <w:spacing w:before="0" w:after="60"/>
            </w:pPr>
            <w:r>
              <w:rPr>
                <w:sz w:val="17"/>
                <w:szCs w:val="17"/>
              </w:rPr>
              <w:t xml:space="preserve">Flecha ① - sale de la tabla T_CUGH_CONCESIONARIO y sube hasta el campo Concesionario</w:t>
            </w:r>
          </w:p>
        </w:tc>
        <w:tc>
          <w:tcPr>
            <w:tcW w:w="5700" w:type="dxa"/>
            <w:vAlign w:val="top"/>
          </w:tcPr>
          <w:p>
            <w:pPr>
              <w:spacing w:before="0" w:after="60"/>
            </w:pPr>
            <w:r>
              <w:rPr>
                <w:sz w:val="17"/>
                <w:szCs w:val="17"/>
              </w:rPr>
              <w:t xml:space="preserve">Este es el primer momento: antes de que el cliente escriba nada, la página ya cargó la lista de concesionarios válidos desde Oracle - así puede mostrarle el desplegable con nombres reales.</w:t>
            </w:r>
          </w:p>
        </w:tc>
      </w:tr>
      <w:tr>
        <w:tc>
          <w:tcPr>
            <w:tcW w:w="500" w:type="dxa"/>
            <w:vAlign w:val="top"/>
          </w:tcPr>
          <w:p>
            <w:pPr>
              <w:spacing w:before="0" w:after="60"/>
            </w:pPr>
            <w:r>
              <w:rPr>
                <w:sz w:val="17"/>
                <w:szCs w:val="17"/>
              </w:rPr>
              <w:t xml:space="preserve">4</w:t>
            </w:r>
          </w:p>
        </w:tc>
        <w:tc>
          <w:tcPr>
            <w:tcW w:w="2800" w:type="dxa"/>
            <w:vAlign w:val="top"/>
          </w:tcPr>
          <w:p>
            <w:pPr>
              <w:spacing w:before="0" w:after="60"/>
            </w:pPr>
            <w:r>
              <w:rPr>
                <w:sz w:val="17"/>
                <w:szCs w:val="17"/>
              </w:rPr>
              <w:t xml:space="preserve">Flecha ② - del mock hacia la Matriz de Perfilado</w:t>
            </w:r>
          </w:p>
        </w:tc>
        <w:tc>
          <w:tcPr>
            <w:tcW w:w="5700" w:type="dxa"/>
            <w:vAlign w:val="top"/>
          </w:tcPr>
          <w:p>
            <w:pPr>
              <w:spacing w:before="0" w:after="60"/>
            </w:pPr>
            <w:r>
              <w:rPr>
                <w:sz w:val="17"/>
                <w:szCs w:val="17"/>
              </w:rPr>
              <w:t xml:space="preserve">El cliente llena ingresos, buró, línea y estado. Apenas hay suficiente información, eso viaja en segundo plano hacia la Matriz de Perfilado - el cliente no tiene que hacer nada especial para disparar esto.</w:t>
            </w:r>
          </w:p>
        </w:tc>
      </w:tr>
      <w:tr>
        <w:tc>
          <w:tcPr>
            <w:tcW w:w="500" w:type="dxa"/>
            <w:vAlign w:val="top"/>
          </w:tcPr>
          <w:p>
            <w:pPr>
              <w:spacing w:before="0" w:after="60"/>
            </w:pPr>
            <w:r>
              <w:rPr>
                <w:sz w:val="17"/>
                <w:szCs w:val="17"/>
              </w:rPr>
              <w:t xml:space="preserve">5</w:t>
            </w:r>
          </w:p>
        </w:tc>
        <w:tc>
          <w:tcPr>
            <w:tcW w:w="2800" w:type="dxa"/>
            <w:vAlign w:val="top"/>
          </w:tcPr>
          <w:p>
            <w:pPr>
              <w:spacing w:before="0" w:after="60"/>
            </w:pPr>
            <w:r>
              <w:rPr>
                <w:sz w:val="17"/>
                <w:szCs w:val="17"/>
              </w:rPr>
              <w:t xml:space="preserve">Secciones 0117 y 1314 dentro de la Matriz (cilindros verdes)</w:t>
            </w:r>
          </w:p>
        </w:tc>
        <w:tc>
          <w:tcPr>
            <w:tcW w:w="5700" w:type="dxa"/>
            <w:vAlign w:val="top"/>
          </w:tcPr>
          <w:p>
            <w:pPr>
              <w:spacing w:before="0" w:after="60"/>
            </w:pPr>
            <w:r>
              <w:rPr>
                <w:sz w:val="17"/>
                <w:szCs w:val="17"/>
              </w:rPr>
              <w:t xml:space="preserve">La matriz consulta dos tablas: la 0117, que ya existe hoy, y la 1314, que tiene las reglas por atributo. Aquí mostramos un ejemplo real de las 5 condiciones que debe cumplir el subproducto 4081.</w:t>
            </w:r>
          </w:p>
        </w:tc>
      </w:tr>
      <w:tr>
        <w:tc>
          <w:tcPr>
            <w:tcW w:w="500" w:type="dxa"/>
            <w:vAlign w:val="top"/>
          </w:tcPr>
          <w:p>
            <w:pPr>
              <w:spacing w:before="0" w:after="60"/>
            </w:pPr>
            <w:r>
              <w:rPr>
                <w:sz w:val="17"/>
                <w:szCs w:val="17"/>
              </w:rPr>
              <w:t xml:space="preserve">6</w:t>
            </w:r>
          </w:p>
        </w:tc>
        <w:tc>
          <w:tcPr>
            <w:tcW w:w="2800" w:type="dxa"/>
            <w:vAlign w:val="top"/>
          </w:tcPr>
          <w:p>
            <w:pPr>
              <w:spacing w:before="0" w:after="60"/>
            </w:pPr>
            <w:r>
              <w:rPr>
                <w:sz w:val="17"/>
                <w:szCs w:val="17"/>
              </w:rPr>
              <w:t xml:space="preserve">Caja ámbar “Ejemplo trabajado” (resultado: subproducto = 4081)</w:t>
            </w:r>
          </w:p>
        </w:tc>
        <w:tc>
          <w:tcPr>
            <w:tcW w:w="5700" w:type="dxa"/>
            <w:vAlign w:val="top"/>
          </w:tcPr>
          <w:p>
            <w:pPr>
              <w:spacing w:before="0" w:after="60"/>
            </w:pPr>
            <w:r>
              <w:rPr>
                <w:sz w:val="17"/>
                <w:szCs w:val="17"/>
              </w:rPr>
              <w:t xml:space="preserve">Con los datos de ejemplo (ingresos 3.2 SMMLV, buró 680, línea VEVN, estado Nuevo) se cumplen las 4 condiciones y la matriz devuelve el subproducto 4081 - aquí es donde “se decide” cuál aplica.</w:t>
            </w:r>
          </w:p>
        </w:tc>
      </w:tr>
      <w:tr>
        <w:tc>
          <w:tcPr>
            <w:tcW w:w="500" w:type="dxa"/>
            <w:vAlign w:val="top"/>
          </w:tcPr>
          <w:p>
            <w:pPr>
              <w:spacing w:before="0" w:after="60"/>
            </w:pPr>
            <w:r>
              <w:rPr>
                <w:sz w:val="17"/>
                <w:szCs w:val="17"/>
              </w:rPr>
              <w:t xml:space="preserve">7</w:t>
            </w:r>
          </w:p>
        </w:tc>
        <w:tc>
          <w:tcPr>
            <w:tcW w:w="2800" w:type="dxa"/>
            <w:vAlign w:val="top"/>
          </w:tcPr>
          <w:p>
            <w:pPr>
              <w:spacing w:before="0" w:after="60"/>
            </w:pPr>
            <w:r>
              <w:rPr>
                <w:sz w:val="17"/>
                <w:szCs w:val="17"/>
              </w:rPr>
              <w:t xml:space="preserve">Flecha ③ - vuelve desde el “Ejemplo trabajado” hasta el campo Garantía/Prenda, en el mock</w:t>
            </w:r>
          </w:p>
        </w:tc>
        <w:tc>
          <w:tcPr>
            <w:tcW w:w="5700" w:type="dxa"/>
            <w:vAlign w:val="top"/>
          </w:tcPr>
          <w:p>
            <w:pPr>
              <w:spacing w:before="0" w:after="60"/>
            </w:pPr>
            <w:r>
              <w:rPr>
                <w:sz w:val="17"/>
                <w:szCs w:val="17"/>
              </w:rPr>
              <w:t xml:space="preserve">Este es el momento que más se presta a confusión, y por eso lo marcamos aparte: el resultado de la matriz regresa al Front, y ahí es cuando la página le muestra al cliente si su crédito va con prenda obligatoria - antes de que dé clic en enviar, no después.</w:t>
            </w:r>
          </w:p>
        </w:tc>
      </w:tr>
      <w:tr>
        <w:tc>
          <w:tcPr>
            <w:tcW w:w="500" w:type="dxa"/>
            <w:vAlign w:val="top"/>
          </w:tcPr>
          <w:p>
            <w:pPr>
              <w:spacing w:before="0" w:after="60"/>
            </w:pPr>
            <w:r>
              <w:rPr>
                <w:sz w:val="17"/>
                <w:szCs w:val="17"/>
              </w:rPr>
              <w:t xml:space="preserve">8</w:t>
            </w:r>
          </w:p>
        </w:tc>
        <w:tc>
          <w:tcPr>
            <w:tcW w:w="2800" w:type="dxa"/>
            <w:vAlign w:val="top"/>
          </w:tcPr>
          <w:p>
            <w:pPr>
              <w:spacing w:before="0" w:after="60"/>
            </w:pPr>
            <w:r>
              <w:rPr>
                <w:sz w:val="17"/>
                <w:szCs w:val="17"/>
              </w:rPr>
              <w:t xml:space="preserve">Caja gris “Subproducto ya decidido: 4081” (entrega a HOST)</w:t>
            </w:r>
          </w:p>
        </w:tc>
        <w:tc>
          <w:tcPr>
            <w:tcW w:w="5700" w:type="dxa"/>
            <w:vAlign w:val="top"/>
          </w:tcPr>
          <w:p>
            <w:pPr>
              <w:spacing w:before="0" w:after="60"/>
            </w:pPr>
            <w:r>
              <w:rPr>
                <w:sz w:val="17"/>
                <w:szCs w:val="17"/>
              </w:rPr>
              <w:t xml:space="preserve">El subproducto ya resuelto viaja en la commarea como dato de entrada - confirmado en código, HOST nunca lo calcula, solo lo recibe.</w:t>
            </w:r>
          </w:p>
        </w:tc>
      </w:tr>
      <w:tr>
        <w:tc>
          <w:tcPr>
            <w:tcW w:w="500" w:type="dxa"/>
            <w:vAlign w:val="top"/>
          </w:tcPr>
          <w:p>
            <w:pPr>
              <w:spacing w:before="0" w:after="60"/>
            </w:pPr>
            <w:r>
              <w:rPr>
                <w:sz w:val="17"/>
                <w:szCs w:val="17"/>
              </w:rPr>
              <w:t xml:space="preserve">9</w:t>
            </w:r>
          </w:p>
        </w:tc>
        <w:tc>
          <w:tcPr>
            <w:tcW w:w="2800" w:type="dxa"/>
            <w:vAlign w:val="top"/>
          </w:tcPr>
          <w:p>
            <w:pPr>
              <w:spacing w:before="0" w:after="60"/>
            </w:pPr>
            <w:r>
              <w:rPr>
                <w:sz w:val="17"/>
                <w:szCs w:val="17"/>
              </w:rPr>
              <w:t xml:space="preserve">UR7CCRAR + sección 9040 (paquete ámbar, “confirmado en código”)</w:t>
            </w:r>
          </w:p>
        </w:tc>
        <w:tc>
          <w:tcPr>
            <w:tcW w:w="5700" w:type="dxa"/>
            <w:vAlign w:val="top"/>
          </w:tcPr>
          <w:p>
            <w:pPr>
              <w:spacing w:before="0" w:after="60"/>
            </w:pPr>
            <w:r>
              <w:rPr>
                <w:sz w:val="17"/>
                <w:szCs w:val="17"/>
              </w:rPr>
              <w:t xml:space="preserve">Ya en HOST, UR7CCRAR hace su propia consulta - esta sí confirmada en el código real - a la sección 9040, el catálogo de subproductos de vehículo. Esto es para clasificar la operación, no para decidir el subproducto, que ya llegó decidido desde la Matriz.</w:t>
            </w:r>
          </w:p>
        </w:tc>
      </w:tr>
      <w:tr>
        <w:tc>
          <w:tcPr>
            <w:tcW w:w="500" w:type="dxa"/>
            <w:vAlign w:val="top"/>
          </w:tcPr>
          <w:p>
            <w:pPr>
              <w:spacing w:before="0" w:after="60"/>
            </w:pPr>
            <w:r>
              <w:rPr>
                <w:sz w:val="17"/>
                <w:szCs w:val="17"/>
              </w:rPr>
              <w:t xml:space="preserve">10</w:t>
            </w:r>
          </w:p>
        </w:tc>
        <w:tc>
          <w:tcPr>
            <w:tcW w:w="2800" w:type="dxa"/>
            <w:vAlign w:val="top"/>
          </w:tcPr>
          <w:p>
            <w:pPr>
              <w:spacing w:before="0" w:after="60"/>
            </w:pPr>
            <w:r>
              <w:rPr>
                <w:sz w:val="17"/>
                <w:szCs w:val="17"/>
              </w:rPr>
              <w:t xml:space="preserve">Paquete morado “UG7CCNRA resuelve las 3 variables ligadas a ESTE subproducto”</w:t>
            </w:r>
          </w:p>
        </w:tc>
        <w:tc>
          <w:tcPr>
            <w:tcW w:w="5700" w:type="dxa"/>
            <w:vAlign w:val="top"/>
          </w:tcPr>
          <w:p>
            <w:pPr>
              <w:spacing w:before="0" w:after="60"/>
            </w:pPr>
            <w:r>
              <w:rPr>
                <w:sz w:val="17"/>
                <w:szCs w:val="17"/>
              </w:rPr>
              <w:t xml:space="preserve">Con el subproducto ya confirmado, UG7CCNRA resuelve directo dos de nuestras variables - Prenda y Combustible - buscando ese mismo subproducto 4081 en las tablas 9968 y 9970.</w:t>
            </w:r>
          </w:p>
        </w:tc>
      </w:tr>
      <w:tr>
        <w:tc>
          <w:tcPr>
            <w:tcW w:w="500" w:type="dxa"/>
            <w:vAlign w:val="top"/>
          </w:tcPr>
          <w:p>
            <w:pPr>
              <w:spacing w:before="0" w:after="60"/>
            </w:pPr>
            <w:r>
              <w:rPr>
                <w:sz w:val="17"/>
                <w:szCs w:val="17"/>
              </w:rPr>
              <w:t xml:space="preserve">11</w:t>
            </w:r>
          </w:p>
        </w:tc>
        <w:tc>
          <w:tcPr>
            <w:tcW w:w="2800" w:type="dxa"/>
            <w:vAlign w:val="top"/>
          </w:tcPr>
          <w:p>
            <w:pPr>
              <w:spacing w:before="0" w:after="60"/>
            </w:pPr>
            <w:r>
              <w:rPr>
                <w:sz w:val="17"/>
                <w:szCs w:val="17"/>
              </w:rPr>
              <w:t xml:space="preserve">Nota punteada “Nuevo/Usado” dentro del mismo paquete</w:t>
            </w:r>
          </w:p>
        </w:tc>
        <w:tc>
          <w:tcPr>
            <w:tcW w:w="5700" w:type="dxa"/>
            <w:vAlign w:val="top"/>
          </w:tcPr>
          <w:p>
            <w:pPr>
              <w:spacing w:before="0" w:after="60"/>
            </w:pPr>
            <w:r>
              <w:rPr>
                <w:sz w:val="17"/>
                <w:szCs w:val="17"/>
              </w:rPr>
              <w:t xml:space="preserve">Aquí hay un ahorro interesante: no hace falta una consulta aparte para Nuevo/Usado, porque el mismo subproducto ya traía esa información (PLEDGESTATUS) desde la sección 1314 - la 9971 queda solo como respaldo para casos especiales.</w:t>
            </w:r>
          </w:p>
        </w:tc>
      </w:tr>
      <w:tr>
        <w:tc>
          <w:tcPr>
            <w:tcW w:w="500" w:type="dxa"/>
            <w:vAlign w:val="top"/>
          </w:tcPr>
          <w:p>
            <w:pPr>
              <w:spacing w:before="0" w:after="60"/>
            </w:pPr>
            <w:r>
              <w:rPr>
                <w:sz w:val="17"/>
                <w:szCs w:val="17"/>
              </w:rPr>
              <w:t xml:space="preserve">12</w:t>
            </w:r>
          </w:p>
        </w:tc>
        <w:tc>
          <w:tcPr>
            <w:tcW w:w="2800" w:type="dxa"/>
            <w:vAlign w:val="top"/>
          </w:tcPr>
          <w:p>
            <w:pPr>
              <w:spacing w:before="0" w:after="60"/>
            </w:pPr>
            <w:r>
              <w:rPr>
                <w:sz w:val="17"/>
                <w:szCs w:val="17"/>
              </w:rPr>
              <w:t xml:space="preserve">Mecanismo “Servicio: Concesionario → Grupo”, debajo del mock (flecha ④)</w:t>
            </w:r>
          </w:p>
        </w:tc>
        <w:tc>
          <w:tcPr>
            <w:tcW w:w="5700" w:type="dxa"/>
            <w:vAlign w:val="top"/>
          </w:tcPr>
          <w:p>
            <w:pPr>
              <w:spacing w:before="0" w:after="60"/>
            </w:pPr>
            <w:r>
              <w:rPr>
                <w:sz w:val="17"/>
                <w:szCs w:val="17"/>
              </w:rPr>
              <w:t xml:space="preserve">En paralelo, cuando el cliente elige su concesionario de la lista que ya se había cargado en el paso ①, eso dispara una consulta aparte que resuelve el grupo de comisión - esto no tiene nada que ver con el subproducto, son dos ejes totalmente independientes.</w:t>
            </w:r>
          </w:p>
        </w:tc>
      </w:tr>
      <w:tr>
        <w:tc>
          <w:tcPr>
            <w:tcW w:w="500" w:type="dxa"/>
            <w:vAlign w:val="top"/>
          </w:tcPr>
          <w:p>
            <w:pPr>
              <w:spacing w:before="0" w:after="60"/>
            </w:pPr>
            <w:r>
              <w:rPr>
                <w:sz w:val="17"/>
                <w:szCs w:val="17"/>
              </w:rPr>
              <w:t xml:space="preserve">13</w:t>
            </w:r>
          </w:p>
        </w:tc>
        <w:tc>
          <w:tcPr>
            <w:tcW w:w="2800" w:type="dxa"/>
            <w:vAlign w:val="top"/>
          </w:tcPr>
          <w:p>
            <w:pPr>
              <w:spacing w:before="0" w:after="60"/>
            </w:pPr>
            <w:r>
              <w:rPr>
                <w:sz w:val="17"/>
                <w:szCs w:val="17"/>
              </w:rPr>
              <w:t xml:space="preserve">Paquete gris “Grupo y LTV - eje totalmente independiente del subproducto”</w:t>
            </w:r>
          </w:p>
        </w:tc>
        <w:tc>
          <w:tcPr>
            <w:tcW w:w="5700" w:type="dxa"/>
            <w:vAlign w:val="top"/>
          </w:tcPr>
          <w:p>
            <w:pPr>
              <w:spacing w:before="0" w:after="60"/>
            </w:pPr>
            <w:r>
              <w:rPr>
                <w:sz w:val="17"/>
                <w:szCs w:val="17"/>
              </w:rPr>
              <w:t xml:space="preserve">Por eso Grupo y LTV no aparecen colgando del subproducto en este diagrama: viajan por caminos completamente aparte, ya documentados en el Diagrama 2.</w:t>
            </w:r>
          </w:p>
        </w:tc>
      </w:tr>
      <w:tr>
        <w:tc>
          <w:tcPr>
            <w:tcW w:w="500" w:type="dxa"/>
            <w:vAlign w:val="top"/>
          </w:tcPr>
          <w:p>
            <w:pPr>
              <w:spacing w:before="0" w:after="60"/>
            </w:pPr>
            <w:r>
              <w:rPr>
                <w:sz w:val="17"/>
                <w:szCs w:val="17"/>
              </w:rPr>
              <w:t xml:space="preserve">14</w:t>
            </w:r>
          </w:p>
        </w:tc>
        <w:tc>
          <w:tcPr>
            <w:tcW w:w="2800" w:type="dxa"/>
            <w:vAlign w:val="top"/>
          </w:tcPr>
          <w:p>
            <w:pPr>
              <w:spacing w:before="0" w:after="60"/>
            </w:pPr>
            <w:r>
              <w:rPr>
                <w:sz w:val="17"/>
                <w:szCs w:val="17"/>
              </w:rPr>
              <w:t xml:space="preserve">Flechas ⑤ y ⑥ (hacia UR7CCRAR y hacia la sección 9040)</w:t>
            </w:r>
          </w:p>
        </w:tc>
        <w:tc>
          <w:tcPr>
            <w:tcW w:w="5700" w:type="dxa"/>
            <w:vAlign w:val="top"/>
          </w:tcPr>
          <w:p>
            <w:pPr>
              <w:spacing w:before="0" w:after="60"/>
            </w:pPr>
            <w:r>
              <w:rPr>
                <w:sz w:val="17"/>
                <w:szCs w:val="17"/>
              </w:rPr>
              <w:t xml:space="preserve">Y así cierra el ejemplo: ⑤ es el clic en “Solicitar crédito”, ya con todo resuelto; ⑥ es el momento en que HOST confirma el subproducto y sigue su propio camino de clasificación.</w:t>
            </w:r>
          </w:p>
        </w:tc>
      </w:tr>
      <w:tr>
        <w:tc>
          <w:tcPr>
            <w:tcW w:w="500" w:type="dxa"/>
            <w:vAlign w:val="top"/>
          </w:tcPr>
          <w:p>
            <w:pPr>
              <w:spacing w:before="0" w:after="60"/>
            </w:pPr>
            <w:r>
              <w:rPr>
                <w:sz w:val="17"/>
                <w:szCs w:val="17"/>
              </w:rPr>
              <w:t xml:space="preserve">15</w:t>
            </w:r>
          </w:p>
        </w:tc>
        <w:tc>
          <w:tcPr>
            <w:tcW w:w="2800" w:type="dxa"/>
            <w:vAlign w:val="top"/>
          </w:tcPr>
          <w:p>
            <w:pPr>
              <w:spacing w:before="0" w:after="60"/>
            </w:pPr>
            <w:r>
              <w:rPr>
                <w:sz w:val="17"/>
                <w:szCs w:val="17"/>
              </w:rPr>
              <w:t xml:space="preserve">Caja final “Las 5 variables confluyen en la CLAVE_ID”</w:t>
            </w:r>
          </w:p>
        </w:tc>
        <w:tc>
          <w:tcPr>
            <w:tcW w:w="5700" w:type="dxa"/>
            <w:vAlign w:val="top"/>
          </w:tcPr>
          <w:p>
            <w:pPr>
              <w:spacing w:before="0" w:after="60"/>
            </w:pPr>
            <w:r>
              <w:rPr>
                <w:sz w:val="17"/>
                <w:szCs w:val="17"/>
              </w:rPr>
              <w:t xml:space="preserve">Para cerrar: 3 variables vienen del subproducto (Prenda, Combustible, Nuevo/Usado) y 2 viajan por su cuenta (Grupo, LTV) - pero las 5 terminan armando la misma clave de 23 posiciones, con el mecanismo ya visto en el Diagrama 1.</w:t>
            </w:r>
          </w:p>
        </w:tc>
      </w:tr>
    </w:tbl>
    <w:p>
      <w:pPr>
        <w:spacing w:before="0" w:after="160"/>
      </w:pPr>
    </w:p>
    <w:p>
      <w:pPr>
        <w:spacing w:before="280" w:after="160"/>
      </w:pPr>
      <w:r>
        <w:rPr>
          <w:b/>
          <w:sz w:val="26"/>
          <w:szCs w:val="26"/>
          <w:color w:val="2E74B5"/>
        </w:rPr>
        <w:t xml:space="preserve">Preguntas frecuentes - Diagrama 3 (Flujo de Subproducto)</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3200"/>
        <w:gridCol w:w="5800"/>
      </w:tblGrid>
      <w:tr>
        <w:tc>
          <w:tcPr>
            <w:tcW w:w="3200" w:type="dxa"/>
            <w:shd w:val="clear" w:color="auto" w:fill="D9E2F3"/>
            <w:vAlign w:val="top"/>
          </w:tcPr>
          <w:p>
            <w:pPr>
              <w:spacing w:before="0" w:after="60"/>
            </w:pPr>
            <w:r>
              <w:rPr>
                <w:b/>
              </w:rPr>
              <w:t xml:space="preserve">Pregunta probable</w:t>
            </w:r>
          </w:p>
        </w:tc>
        <w:tc>
          <w:tcPr>
            <w:tcW w:w="5800" w:type="dxa"/>
            <w:shd w:val="clear" w:color="auto" w:fill="D9E2F3"/>
            <w:vAlign w:val="top"/>
          </w:tcPr>
          <w:p>
            <w:pPr>
              <w:spacing w:before="0" w:after="60"/>
            </w:pPr>
            <w:r>
              <w:rPr>
                <w:b/>
              </w:rPr>
              <w:t xml:space="preserve">Respuesta corta</w:t>
            </w:r>
          </w:p>
        </w:tc>
      </w:tr>
      <w:tr>
        <w:tc>
          <w:tcPr>
            <w:tcW w:w="3200" w:type="dxa"/>
            <w:vAlign w:val="top"/>
          </w:tcPr>
          <w:p>
            <w:pPr>
              <w:spacing w:before="0" w:after="60"/>
            </w:pPr>
            <w:r>
              <w:rPr>
                <w:sz w:val="18"/>
                <w:szCs w:val="18"/>
              </w:rPr>
              <w:t xml:space="preserve">¿Por qué Garantía/Prenda no es un campo que el cliente llena?</w:t>
            </w:r>
          </w:p>
        </w:tc>
        <w:tc>
          <w:tcPr>
            <w:tcW w:w="5800" w:type="dxa"/>
            <w:vAlign w:val="top"/>
          </w:tcPr>
          <w:p>
            <w:pPr>
              <w:spacing w:before="0" w:after="60"/>
            </w:pPr>
            <w:r>
              <w:rPr>
                <w:sz w:val="18"/>
                <w:szCs w:val="18"/>
              </w:rPr>
              <w:t xml:space="preserve">Porque depende de una regla de negocio (ingreso menor a 5 SMMLV → prenda obligatoria) que el sistema ya puede resolver antes de preguntar - así que se le muestra al cliente, no se le pregunta.</w:t>
            </w:r>
          </w:p>
        </w:tc>
      </w:tr>
      <w:tr>
        <w:tc>
          <w:tcPr>
            <w:tcW w:w="3200" w:type="dxa"/>
            <w:vAlign w:val="top"/>
          </w:tcPr>
          <w:p>
            <w:pPr>
              <w:spacing w:before="0" w:after="60"/>
            </w:pPr>
            <w:r>
              <w:rPr>
                <w:sz w:val="18"/>
                <w:szCs w:val="18"/>
              </w:rPr>
              <w:t xml:space="preserve">¿El cliente ve el Grupo de comisión en algún momento de la pantalla?</w:t>
            </w:r>
          </w:p>
        </w:tc>
        <w:tc>
          <w:tcPr>
            <w:tcW w:w="5800" w:type="dxa"/>
            <w:vAlign w:val="top"/>
          </w:tcPr>
          <w:p>
            <w:pPr>
              <w:spacing w:before="0" w:after="60"/>
            </w:pPr>
            <w:r>
              <w:rPr>
                <w:sz w:val="18"/>
                <w:szCs w:val="18"/>
              </w:rPr>
              <w:t xml:space="preserve">No - viaja internamente en el payload, nunca se muestra en pantalla. Solo ve el nombre del concesionario que seleccionó.</w:t>
            </w:r>
          </w:p>
        </w:tc>
      </w:tr>
      <w:tr>
        <w:tc>
          <w:tcPr>
            <w:tcW w:w="3200" w:type="dxa"/>
            <w:vAlign w:val="top"/>
          </w:tcPr>
          <w:p>
            <w:pPr>
              <w:spacing w:before="0" w:after="60"/>
            </w:pPr>
            <w:r>
              <w:rPr>
                <w:sz w:val="18"/>
                <w:szCs w:val="18"/>
              </w:rPr>
              <w:t xml:space="preserve">¿Por qué el subproducto 4081 es el mismo en todas las tablas del diagrama?</w:t>
            </w:r>
          </w:p>
        </w:tc>
        <w:tc>
          <w:tcPr>
            <w:tcW w:w="5800" w:type="dxa"/>
            <w:vAlign w:val="top"/>
          </w:tcPr>
          <w:p>
            <w:pPr>
              <w:spacing w:before="0" w:after="60"/>
            </w:pPr>
            <w:r>
              <w:rPr>
                <w:sz w:val="18"/>
                <w:szCs w:val="18"/>
              </w:rPr>
              <w:t xml:space="preserve">A propósito - es un solo caso de cliente, seguido de principio a fin, para que se vea cómo UN MISMO subproducto conecta la Matriz, la validación en HOST, y la resolución de Prenda/Combustible.</w:t>
            </w:r>
          </w:p>
        </w:tc>
      </w:tr>
      <w:tr>
        <w:tc>
          <w:tcPr>
            <w:tcW w:w="3200" w:type="dxa"/>
            <w:vAlign w:val="top"/>
          </w:tcPr>
          <w:p>
            <w:pPr>
              <w:spacing w:before="0" w:after="60"/>
            </w:pPr>
            <w:r>
              <w:rPr>
                <w:sz w:val="18"/>
                <w:szCs w:val="18"/>
              </w:rPr>
              <w:t xml:space="preserve">¿Qué tan real es el contenido de las tablas (9040, 9968, 9970)?</w:t>
            </w:r>
          </w:p>
        </w:tc>
        <w:tc>
          <w:tcPr>
            <w:tcW w:w="5800" w:type="dxa"/>
            <w:vAlign w:val="top"/>
          </w:tcPr>
          <w:p>
            <w:pPr>
              <w:spacing w:before="0" w:after="60"/>
            </w:pPr>
            <w:r>
              <w:rPr>
                <w:sz w:val="18"/>
                <w:szCs w:val="18"/>
              </w:rPr>
              <w:t xml:space="preserve">El mecanismo y las secciones 0117/1314 sí están confirmados en código. Las filas de ejemplo (como “VEHNVOCPCOMB90%TRA12CCF”) son ilustrativas - el diagrama lo marca explícitamente donde aplica, para no hacerlas pasar por datos reales verificados.</w:t>
            </w:r>
          </w:p>
        </w:tc>
      </w:tr>
      <w:tr>
        <w:tc>
          <w:tcPr>
            <w:tcW w:w="3200" w:type="dxa"/>
            <w:vAlign w:val="top"/>
          </w:tcPr>
          <w:p>
            <w:pPr>
              <w:spacing w:before="0" w:after="60"/>
            </w:pPr>
            <w:r>
              <w:rPr>
                <w:sz w:val="18"/>
                <w:szCs w:val="18"/>
              </w:rPr>
              <w:t xml:space="preserve">¿Este diagrama reemplaza al Diagrama 2 (Arquitectura Vehículo Web)?</w:t>
            </w:r>
          </w:p>
        </w:tc>
        <w:tc>
          <w:tcPr>
            <w:tcW w:w="5800" w:type="dxa"/>
            <w:vAlign w:val="top"/>
          </w:tcPr>
          <w:p>
            <w:pPr>
              <w:spacing w:before="0" w:after="60"/>
            </w:pPr>
            <w:r>
              <w:rPr>
                <w:sz w:val="18"/>
                <w:szCs w:val="18"/>
              </w:rPr>
              <w:t xml:space="preserve">No - el Diagrama 2 muestra toda la arquitectura; este hace zoom a un solo caso real para explicar la parte de subproducto que antes no quedaba clara. Úsalos juntos: Diagrama 2 para el panorama, Diagrama 3 cuando pregunten “sí, pero ¿cómo se llena eso?”</w:t>
            </w:r>
          </w:p>
        </w:tc>
      </w:tr>
    </w:tbl>
    <w:p>
      <w:r>
        <w:br w:type="page"/>
      </w:r>
    </w:p>
    <w:p>
      <w:pPr>
        <w:spacing w:before="280" w:after="160"/>
      </w:pPr>
      <w:r>
        <w:rPr>
          <w:b/>
          <w:sz w:val="32"/>
          <w:szCs w:val="32"/>
          <w:color w:val="1F4E79"/>
        </w:rPr>
        <w:t xml:space="preserve">Tips generales de presentación</w:t>
      </w:r>
    </w:p>
    <w:p>
      <w:pPr>
        <w:ind w:left="360" w:hanging="360"/>
        <w:spacing w:before="0" w:after="100"/>
      </w:pPr>
      <w:r>
        <w:rPr>
          <w:b/>
        </w:rPr>
        <w:t xml:space="preserve">- </w:t>
      </w:r>
      <w:r>
        <w:t xml:space="preserve">Empieza siempre por el Diagrama 1 (Batch) - es el más validado y el más fácil de defender si hay preguntas difíciles.</w:t>
      </w:r>
    </w:p>
    <w:p>
      <w:pPr>
        <w:ind w:left="360" w:hanging="360"/>
        <w:spacing w:before="0" w:after="100"/>
      </w:pPr>
      <w:r>
        <w:rPr>
          <w:b/>
        </w:rPr>
        <w:t xml:space="preserve">- </w:t>
      </w:r>
      <w:r>
        <w:t xml:space="preserve">Antes de abrir el Diagrama 2, deja clara la regla de color: cajas rojas/rosadas son construcción nueva, ámbar es HOST/DB2, verde es Oracle/digital, morado es el motor de tasa online.</w:t>
      </w:r>
    </w:p>
    <w:p>
      <w:pPr>
        <w:ind w:left="360" w:hanging="360"/>
        <w:spacing w:before="0" w:after="100"/>
      </w:pPr>
      <w:r>
        <w:rPr>
          <w:b/>
        </w:rPr>
        <w:t xml:space="preserve">- </w:t>
      </w:r>
      <w:r>
        <w:t xml:space="preserve">Si alguien pregunta por un punto que está marcado como “pendiente” o “hallazgo a confirmar” en el propio diagrama, apóyate en esa misma caja - ya está documentado que es una duda abierta, no una omisión.</w:t>
      </w:r>
    </w:p>
    <w:p>
      <w:pPr>
        <w:ind w:left="360" w:hanging="360"/>
        <w:spacing w:before="0" w:after="100"/>
      </w:pPr>
      <w:r>
        <w:rPr>
          <w:b/>
        </w:rPr>
        <w:t xml:space="preserve">- </w:t>
      </w:r>
      <w:r>
        <w:t xml:space="preserve">Cierra siempre recordando que estos diagramas son un documento vivo en app.diagrams.net - se pueden seguir ajustando a medida que se resuelvan las preguntas pendientes con el líder y con Negocio.</w:t>
      </w:r>
    </w:p>
    <w:sectPr>
      <w:pgSz w:w="12240" w:h="15840"/>
      <w:pgMar w:top="1080" w:right="1080" w:bottom="1080" w:left="1080" w:header="720" w:footer="720" w:gutter="0"/>
    </w:sectPr>
  </w:body>
</w:document>
</file>

<file path=docProps/core.xml><?xml version="1.0" encoding="utf-8"?>
<cp:coreProperties xmlns:cp="http://schemas.openxmlformats.org/package/2006/metadata/core-properties" xmlns:dc="http://purl.org/dc/elements/1.1/" xmlns:dcterms="http://purl.org/dc/terms/" xmlns:xsi="http://www.w3.org/2001/XMLSchema-instance">
  <dc:title>SDA 56742 - Guia de presentacion de diagramas</dc:title>
  <dc:creator>Andrés - Equipo HOST</dc:creator>
</cp:coreProperties>
</file>