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Impacto técnico de APIs en Pricing Avanzado — Fase II</w:t>
      </w:r>
    </w:p>
    <w:p>
      <w:r>
        <w:t>SDA 56742 | Vehículo Web / Plataforma Inchcape | BBVA Colombia</w:t>
      </w:r>
    </w:p>
    <w:p>
      <w:r>
        <w:t>Consolidado para revisión de Ingeniería, Arquitectura y Negocio · 27 de octubre de 2026</w:t>
      </w:r>
    </w:p>
    <w:p>
      <w:r>
        <w:t>Alcance: exclusivamente Pricing Avanzado — Fase II. RVD queda expresamente excluido. Estado: análisis técnico y propuesta de validación; cambios de contrato y campos nuevos no aprobados.</w:t>
      </w:r>
    </w:p>
    <w:p>
      <w:pPr>
        <w:pStyle w:val="Heading1"/>
      </w:pPr>
      <w:r>
        <w:t>1. Resumen ejecutivo</w:t>
      </w:r>
    </w:p>
    <w:p>
      <w:r>
        <w:t>El cruce de la colección Postman InchCapeAPIS V2, la revisión técnica de Pricing y el documento maestro de trazabilidad identifica cuatro operaciones ASO prioritarias: creación de contraoferta, confirmación/modificación, consulta de contraoferta y simulación de plan de pagos. El riesgo principal es que los atributos usados para calcular una oferta no se conserven o no se recalculen cuando cambian monto o plazo.</w:t>
      </w:r>
    </w:p>
    <w:p>
      <w:r>
        <w:t>No existe correspondencia demostrada entre los endpoints /auto-loans/v0/... de la colección Inchcape y los /v1/offers/... o /v2/loans/... del flujo Vehículo Web. Tampoco está acreditado que todas las transacciones Host se transporten por colas MQ específicas. No debe estimarse una ampliación de contratos sin cerrar esa trazabilidad.</w:t>
      </w:r>
    </w:p>
    <w:p>
      <w:pPr>
        <w:pStyle w:val="Heading1"/>
      </w:pPr>
      <w:r>
        <w:t>2. Operaciones ASO prioritarias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484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2484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SMC / Host</w:t>
            </w:r>
          </w:p>
        </w:tc>
        <w:tc>
          <w:tcPr>
            <w:tcW w:type="dxa" w:w="2484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Revisión requerida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/v1/offers/counter-offers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SMGG20242090 / CUGHTO01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Entrada de canal/grupo, perfil, garantía, combustible, LTV y cálculo de oferta.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PATCH /v1/offers/confirmation-offers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SMGG20250131 / CUGHTO04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Persistencia de atributos, cambio de monto/plazo, recálculo y offerId null.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/v1/offers/counter-offers/{counter-offer-id}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SMGG20242091 / CUGHTO03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Respuesta: tasa, monto, plazo, subproducto, porcentaje financiado y condiciones.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/v2/loans/{loan-id}/offers/{offer-id}/installment-plans/simulates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SMGG20240447 / CUGHTS02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Diferenciar simulación inicial de plan/VTU; isPricing, pricing.value y coherencia con oferta final.</w:t>
            </w:r>
          </w:p>
        </w:tc>
      </w:tr>
    </w:tbl>
    <w:p/>
    <w:p>
      <w:r>
        <w:t>Referencia: Documento maestro, pp. 4, 7-8, 17-21 y 25; Revisión técnica, pp. 4-6.</w:t>
      </w:r>
    </w:p>
    <w:p>
      <w:pPr>
        <w:pStyle w:val="Heading1"/>
      </w:pPr>
      <w:r>
        <w:t>3. Matriz de siete variables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Campos existentes o candidatos</w:t>
            </w:r>
          </w:p>
        </w:tc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Acción / decisión pendiente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V1 Canal / comisión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channel, convention, params; idAliado en agendamiento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Verificar origen del canal y si se necesita identificador de concesionario/NIT/grupo antes de la oferta. Alta/consulta de grupos puede ir a fase posterior.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V2 Perfil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incomes, customerType, bureauValue, economicData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Validar ingresos declarados/inferidos, actividad laboral y defaults; corregir mapeos antes de añadir campos.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V3 LTV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requestedAmount, credits.goodValue, financingPercentage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Confirmar fórmula, redondeo, umbral &lt;=70% / &gt;70% y recálculo tras cambio de monto.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V4 Destino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creditUse, creditDestination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Homologar códigos; compra de cartera no opera actualmente en Web.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V5 Garantía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guaranteeType.code, pledge, REQUIRED_LIEN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Evitar N/A y NEW fijos si no reflejan prenda real; verificar subproducto.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V6 Estado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goods.detail.isNew; vehicle.detail.status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Definir seminuevo como usado y compra instantánea como nuevo según aprobación funcional.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V7 Combustible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isFuel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Determinar si booleano permite distinguir gasolina, híbrido, eléctrico y otros; validar catálogo.</w:t>
            </w:r>
          </w:p>
        </w:tc>
      </w:tr>
    </w:tbl>
    <w:p/>
    <w:p>
      <w:r>
        <w:t>Los siete grupos no implican siete campos nuevos. El contrato ASO puede contener atributos que el frontend no envía o que el mapper no propaga. Referencia: Documento maestro, pp. 7-12; Revisión técnica, pp. 2-3.</w:t>
      </w:r>
    </w:p>
    <w:p>
      <w:pPr>
        <w:pStyle w:val="Heading1"/>
      </w:pPr>
      <w:r>
        <w:t>4. Inventario Postman Inchcape y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Datos / función</w:t>
            </w:r>
          </w:p>
        </w:tc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Impacto propuesto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/auto-loans/v0/vehicles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loan.requestAmount, loan.term, vehicle.price, vehicle.detail.status, brand, vehicleType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Revisar posible origen de variables y correspondencia con ASO; modificación condicionada.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/auto-loans/v0/vehicles/{idProcess}/simulates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Consulta simulación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Prioridad alta de trazabilidad de respuesta y tasa.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PATCH /auto-loans/v0/vehicles/{idProcess}/simulates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Ingresos, deducciones, empleador, actividad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Verificar si actualiza perfil y dispara recálculo o solo guarda datos.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/auto-loans/v0/vehicles/{idProcess}/proposals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de propuesta y cliente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Validar persistencia de condiciones finales; dependencia.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.../prospect-customers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personales y contacto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 cambio funcional confirmado.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/auto-loans/v0/tasks/{idProcess}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Estado/tareas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 cambio confirmado salvo nuevos estados.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/TechArchitecture/co/grantingTicket/V02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Autenticación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Fuera del alcance funcional.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APX CPOVT002 / PGRestService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Validación / descripción QWAIT001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Resolver discrepancia con dueño APX antes de atribuir impacto.</w:t>
            </w:r>
          </w:p>
        </w:tc>
      </w:tr>
    </w:tbl>
    <w:p/>
    <w:p>
      <w:r>
        <w:t>La colección contiene ejemplos con applicationId/collaboratorId y cabeceras inconsistentes, una solicitud denominada POST tasks que usa GET y una URL de granting ticket con llave adicional. Son problemas de referencia Postman, no defectos productivos demostrados.</w:t>
      </w:r>
    </w:p>
    <w:p>
      <w:pPr>
        <w:pStyle w:val="Heading1"/>
      </w:pPr>
      <w:r>
        <w:t>5. Riesgos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312"/>
            <w:vAlign w:val="center"/>
            <w:shd w:fill="073B6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Validación / mitigación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Tasa no recalculada al modificar monto/plazo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Definir evento de recálculo backend y probar cambios de LTV.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Pérdida de atributos en PATCH CUGHTO04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Comparar request original, PATCH, mapper y respuesta Host campo a campo.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Grupo de comisión desconocido al calcular oferta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Definir fuente de verdad y disponibilidad temporal del dato.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Tasas, seguro, cuota y VTU inconsistentes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Fijar oferta definitiva como fuente de verdad y probar simulación posterior.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Defaults de ingresos/garantía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Eliminar o justificar valores 1, N/A, NEW y 0000 según regla funcional.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Medio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Seminuevo y combustible insuficientemente codificados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Cerrar catálogos y mapeos Web-ASO-Host.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Alto (condicional)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Incompatibilidad al modificar contrato Host/MQ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Inspeccionar mapper/copy/transportes, compatibilidad y pruebas de integración.</w:t>
            </w:r>
          </w:p>
        </w:tc>
      </w:tr>
    </w:tbl>
    <w:p/>
    <w:p>
      <w:r>
        <w:t>Evidencias destacadas: la personalización calcula cuota con tasa previa y envía offerId null; detalle y éxito simulan con isPricing:false y reutilizan pricingValue; mejor oferta utiliza rates[0] sin seleccionar por rateType. Documento maestro, pp. 18-24.</w:t>
      </w:r>
    </w:p>
    <w:p>
      <w:pPr>
        <w:pStyle w:val="Heading1"/>
      </w:pPr>
      <w:r>
        <w:t>6. Impacto en Host y MQ</w:t>
      </w:r>
    </w:p>
    <w:p>
      <w:r>
        <w:t>Cadena de revisión: Vehículo Web / Cells → API ASO → Business / DAO / Mapper → transacción Host → respuesta → frontend. Transacciones identificadas: CUGHTO01, CUGHTO03, CUGHTO04 y CUGHTS02. La documentación acredita invocaciones Host indirectas desde ASO, pero no asigna colas MQ concretas a cada flujo.</w:t>
      </w:r>
    </w:p>
    <w:p>
      <w:r>
        <w:t>Para cada operación se deben verificar: contrato REST, DTO, mapper request/response, transacción y copy Host, transporte efectivo (MQ u otro), formato y tipos, campos obligatorios, versionado, errores, timeout, idempotencia y pruebas de regresión. Añadir un campo JSON no garantiza que llegue al Host.</w:t>
      </w:r>
    </w:p>
    <w:p>
      <w:pPr>
        <w:pStyle w:val="Heading1"/>
      </w:pPr>
      <w:r>
        <w:t>7. Alcance por fase</w:t>
      </w:r>
    </w:p>
    <w:p>
      <w:pPr>
        <w:pStyle w:val="Heading2"/>
      </w:pPr>
      <w:r>
        <w:t>Fase actual: análisis y desarrollo condicionado</w:t>
      </w:r>
    </w:p>
    <w:p>
      <w:r>
        <w:t>POST/GET contraofertas; PATCH confirmación; simulación; cambios mínimos en Cells para propagar variables aprobadas; pruebas de LTV, garantía, combustible, perfil, estado del vehículo, tasa y plan de pagos.</w:t>
      </w:r>
    </w:p>
    <w:p>
      <w:pPr>
        <w:pStyle w:val="Heading2"/>
      </w:pPr>
      <w:r>
        <w:t>Fase posterior o condicional</w:t>
      </w:r>
    </w:p>
    <w:p>
      <w:r>
        <w:t>Alta, consulta y mantenimiento de concesionarios, NIT y grupos de pago de comisión; catálogos y persistencia adicional según decisión de Negocio e Ingeniería.</w:t>
      </w:r>
    </w:p>
    <w:p>
      <w:pPr>
        <w:pStyle w:val="Heading2"/>
      </w:pPr>
      <w:r>
        <w:t>Sin cambio funcional demostrado</w:t>
      </w:r>
    </w:p>
    <w:p>
      <w:r>
        <w:t>Granting ticket, consulta de tareas y registro básico de prospecto: sin cambio funcional de Pricing demostrado, salvo que una variable aprobada exija modificar el contrato.</w:t>
      </w:r>
    </w:p>
    <w:p>
      <w:pPr>
        <w:pStyle w:val="Heading1"/>
      </w:pPr>
      <w:r>
        <w:t>8. Plan de validación y entregables</w:t>
      </w:r>
    </w:p>
    <w:p>
      <w:r>
        <w:t>1. Confirmar consumidores y equivalencias Postman ↔ ASO mediante runtime, trazas o código.</w:t>
      </w:r>
    </w:p>
    <w:p>
      <w:r>
        <w:t>2. Completar matriz por campo: origen, tipo, obligatoriedad, default, transformación, destino y prueba.</w:t>
      </w:r>
    </w:p>
    <w:p>
      <w:r>
        <w:t>3. Cerrar reglas funcionales: grupo de comisión, garantía, combustible, seminuevo, LTV y recálculo.</w:t>
      </w:r>
    </w:p>
    <w:p>
      <w:r>
        <w:t>4. Verificar contratos ASO/DAO/mapper/Host y transporte real; clasificar cada cambio como contrato, mapeo, regla o ninguno.</w:t>
      </w:r>
    </w:p>
    <w:p>
      <w:r>
        <w:t>5. Ejecutar regresión end-to-end y aprobar alcance, responsables, fases y estimación.</w:t>
      </w:r>
    </w:p>
    <w:p>
      <w:pPr>
        <w:pStyle w:val="Heading1"/>
      </w:pPr>
      <w:r>
        <w:t>9. Preguntas bloqueantes para Ingeniería y Negocio</w:t>
      </w:r>
    </w:p>
    <w:p>
      <w:r>
        <w:t>• ¿Qué endpoint calcula la tasa diferenciada y cuándo necesita canal/grupo de comisión?</w:t>
      </w:r>
    </w:p>
    <w:p>
      <w:r>
        <w:t>• ¿Qué campos de POST CUGHTO01 se envían realmente a Host y cuáles devuelve CUGHTO03?</w:t>
      </w:r>
    </w:p>
    <w:p>
      <w:r>
        <w:t>• ¿PATCH CUGHTO04 conserva todos los atributos? ¿Qué significa offerId null?</w:t>
      </w:r>
    </w:p>
    <w:p>
      <w:r>
        <w:t>• ¿Al cambiar monto o plazo se recalcula la tasa en backend?</w:t>
      </w:r>
    </w:p>
    <w:p>
      <w:r>
        <w:t>• ¿Qué significan isPricing y pricing.value en simulación inicial y posterior?</w:t>
      </w:r>
    </w:p>
    <w:p>
      <w:r>
        <w:t>• ¿Qué códigos de garantía, combustible y seminuevo son válidos?</w:t>
      </w:r>
    </w:p>
    <w:p>
      <w:r>
        <w:t>• ¿Cuál es la correspondencia demostrable entre Inchcape /auto-loans/v0 y ASO Vehículo Web?</w:t>
      </w:r>
    </w:p>
    <w:p>
      <w:r>
        <w:t>• ¿Qué transporte/cola concreta usa cada transacción Host?</w:t>
      </w:r>
    </w:p>
    <w:p>
      <w:pPr>
        <w:pStyle w:val="Heading1"/>
      </w:pPr>
      <w:r>
        <w:t>10. Fuentes y límites de evidencia</w:t>
      </w:r>
    </w:p>
    <w:p>
      <w:r>
        <w:t>Revision_tecnica_APIs_Pricing_Avanzado_RVD_SDA56742.docx — pp. 2-8 (se consultaron únicamente apartados pertinentes a Pricing; RVD fuera de alcance).</w:t>
      </w:r>
    </w:p>
    <w:p>
      <w:r>
        <w:t>SDA56742_documento_maestro_trazabilidad_v10.docx — pp. 1-25.</w:t>
      </w:r>
    </w:p>
    <w:p>
      <w:r>
        <w:t>InchCapeAPIS V2.postman_collection (1).json — solicitudes y ejemplos de payload.</w:t>
      </w:r>
    </w:p>
    <w:p>
      <w:r>
        <w:t>Criterio de lectura: “confirmado” corresponde a evidencia técnica documentada en las fuentes; “candidato” es una hipótesis de impacto; “pendiente” requiere contrato vigente, código o prueba. No se ha validado el entorno productivo ni se han aprobado nuevos campos.</w:t>
      </w:r>
    </w:p>
    <w:sectPr w:rsidR="00FC693F" w:rsidRPr="0006063C" w:rsidSect="00034616">
      <w:pgSz w:w="12240" w:h="15840"/>
      <w:pgMar w:top="1123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5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5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457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