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0AF4C" w14:textId="77777777" w:rsidR="00AA0A60" w:rsidRPr="00AA0A60" w:rsidRDefault="00AA0A60" w:rsidP="00AA0A60">
      <w:pPr>
        <w:pBdr>
          <w:top w:val="single" w:sz="2" w:space="0" w:color="E5E7EB"/>
          <w:left w:val="single" w:sz="2" w:space="0" w:color="E5E7EB"/>
          <w:bottom w:val="single" w:sz="2" w:space="0" w:color="E5E7EB"/>
          <w:right w:val="single" w:sz="2" w:space="0" w:color="E5E7EB"/>
        </w:pBdr>
        <w:spacing w:after="0" w:line="240" w:lineRule="auto"/>
        <w:jc w:val="center"/>
        <w:outlineLvl w:val="2"/>
        <w:rPr>
          <w:rFonts w:ascii="Poppins" w:eastAsia="Times New Roman" w:hAnsi="Poppins" w:cs="Poppins"/>
          <w:b/>
          <w:bCs/>
          <w:color w:val="5B21B6"/>
          <w:sz w:val="27"/>
          <w:szCs w:val="27"/>
          <w:lang w:eastAsia="es-MX"/>
        </w:rPr>
      </w:pPr>
      <w:r w:rsidRPr="00AA0A60">
        <w:rPr>
          <w:rFonts w:ascii="Poppins" w:eastAsia="Times New Roman" w:hAnsi="Poppins" w:cs="Poppins"/>
          <w:b/>
          <w:bCs/>
          <w:color w:val="5B21B6"/>
          <w:sz w:val="27"/>
          <w:szCs w:val="27"/>
          <w:lang w:eastAsia="es-MX"/>
        </w:rPr>
        <w:t>Proyecto · Clase 5 · Rosa comprueba que su asistente responde con el manual y no con lo que supone</w:t>
      </w:r>
    </w:p>
    <w:p w14:paraId="1361D3E6" w14:textId="77777777" w:rsidR="00AA0A60" w:rsidRDefault="00AA0A60" w:rsidP="00AA0A60">
      <w:pPr>
        <w:jc w:val="both"/>
        <w:rPr>
          <w:rFonts w:ascii="Arial" w:hAnsi="Arial" w:cs="Arial"/>
          <w:sz w:val="24"/>
          <w:szCs w:val="24"/>
        </w:rPr>
      </w:pPr>
    </w:p>
    <w:p w14:paraId="2B0AD780" w14:textId="77777777" w:rsidR="00AA0A60" w:rsidRDefault="00AA0A60" w:rsidP="00AA0A60">
      <w:pPr>
        <w:jc w:val="both"/>
        <w:rPr>
          <w:rFonts w:ascii="Arial" w:hAnsi="Arial" w:cs="Arial"/>
          <w:sz w:val="24"/>
          <w:szCs w:val="24"/>
        </w:rPr>
      </w:pPr>
      <w:r>
        <w:rPr>
          <w:rFonts w:ascii="Arial" w:hAnsi="Arial" w:cs="Arial"/>
          <w:sz w:val="24"/>
          <w:szCs w:val="24"/>
        </w:rPr>
        <w:t>Le mande el caso con el documento y las siguientes indicaciones:</w:t>
      </w:r>
    </w:p>
    <w:p w14:paraId="59FA2523" w14:textId="77777777" w:rsidR="00AA0A60" w:rsidRPr="00AA0A60" w:rsidRDefault="00AA0A60" w:rsidP="00AA0A60">
      <w:pPr>
        <w:jc w:val="both"/>
        <w:rPr>
          <w:rFonts w:ascii="Arial" w:hAnsi="Arial" w:cs="Arial"/>
          <w:sz w:val="24"/>
          <w:szCs w:val="24"/>
        </w:rPr>
      </w:pPr>
      <w:r>
        <w:rPr>
          <w:rFonts w:ascii="Arial" w:hAnsi="Arial" w:cs="Arial"/>
          <w:sz w:val="24"/>
          <w:szCs w:val="24"/>
        </w:rPr>
        <w:t xml:space="preserve"> </w:t>
      </w:r>
      <w:r w:rsidRPr="00AA0A60">
        <w:rPr>
          <w:rFonts w:ascii="Arial" w:hAnsi="Arial" w:cs="Arial"/>
          <w:sz w:val="24"/>
          <w:szCs w:val="24"/>
        </w:rPr>
        <w:t xml:space="preserve">Por favor a base del documento de proyectos materiales responde las siguientes preguntas cuánto tiempo puede estar la mercancía en el andén Qué hacer con una diferencia de inventario en cuántas horas se reporta un daño. </w:t>
      </w:r>
    </w:p>
    <w:p w14:paraId="6C6F8F2C" w14:textId="77777777" w:rsidR="00AA0A60" w:rsidRDefault="00AA0A60" w:rsidP="00AA0A60">
      <w:pPr>
        <w:jc w:val="both"/>
        <w:rPr>
          <w:rFonts w:ascii="Arial" w:hAnsi="Arial" w:cs="Arial"/>
          <w:sz w:val="24"/>
          <w:szCs w:val="24"/>
        </w:rPr>
      </w:pPr>
      <w:r w:rsidRPr="00AA0A60">
        <w:rPr>
          <w:rFonts w:ascii="Arial" w:hAnsi="Arial" w:cs="Arial"/>
          <w:sz w:val="24"/>
          <w:szCs w:val="24"/>
        </w:rPr>
        <w:t xml:space="preserve">Por favor indícame en donde sacaste esa respuesta (si no aparece la respuesta en el archivo </w:t>
      </w:r>
      <w:proofErr w:type="spellStart"/>
      <w:r w:rsidRPr="00AA0A60">
        <w:rPr>
          <w:rFonts w:ascii="Arial" w:hAnsi="Arial" w:cs="Arial"/>
          <w:sz w:val="24"/>
          <w:szCs w:val="24"/>
        </w:rPr>
        <w:t>maracamelo</w:t>
      </w:r>
      <w:proofErr w:type="spellEnd"/>
      <w:r w:rsidRPr="00AA0A60">
        <w:rPr>
          <w:rFonts w:ascii="Arial" w:hAnsi="Arial" w:cs="Arial"/>
          <w:sz w:val="24"/>
          <w:szCs w:val="24"/>
        </w:rPr>
        <w:t xml:space="preserve"> como "Sin responder"</w:t>
      </w:r>
      <w:r>
        <w:rPr>
          <w:rFonts w:ascii="Arial" w:hAnsi="Arial" w:cs="Arial"/>
          <w:sz w:val="24"/>
          <w:szCs w:val="24"/>
        </w:rPr>
        <w:t>.</w:t>
      </w:r>
    </w:p>
    <w:p w14:paraId="0ED47490" w14:textId="77777777" w:rsidR="00AA0A60" w:rsidRDefault="00AA0A60" w:rsidP="00AA0A60">
      <w:pPr>
        <w:jc w:val="both"/>
        <w:rPr>
          <w:rFonts w:ascii="Arial" w:hAnsi="Arial" w:cs="Arial"/>
          <w:sz w:val="24"/>
          <w:szCs w:val="24"/>
        </w:rPr>
      </w:pPr>
      <w:r>
        <w:rPr>
          <w:rFonts w:ascii="Arial" w:hAnsi="Arial" w:cs="Arial"/>
          <w:sz w:val="24"/>
          <w:szCs w:val="24"/>
        </w:rPr>
        <w:t xml:space="preserve">Respuesta de Gemini: </w:t>
      </w:r>
    </w:p>
    <w:p w14:paraId="0788693F" w14:textId="77777777" w:rsidR="00AA0A60" w:rsidRDefault="00AA0A60" w:rsidP="00AA0A60">
      <w:pPr>
        <w:jc w:val="both"/>
        <w:rPr>
          <w:rFonts w:ascii="Arial" w:hAnsi="Arial" w:cs="Arial"/>
          <w:sz w:val="24"/>
          <w:szCs w:val="24"/>
        </w:rPr>
      </w:pPr>
      <w:r w:rsidRPr="00AA0A60">
        <w:rPr>
          <w:rFonts w:ascii="Arial" w:hAnsi="Arial" w:cs="Arial"/>
          <w:sz w:val="24"/>
          <w:szCs w:val="24"/>
        </w:rPr>
        <w:t>A continuación, se presentan las respuestas directas con base en el Manual de Procesos de Operaciones (Versión 3.2) de Distribuidora Valle Verde</w:t>
      </w:r>
    </w:p>
    <w:p w14:paraId="173A3A74" w14:textId="77777777" w:rsidR="00AA0A60" w:rsidRDefault="00AA0A60" w:rsidP="00AA0A60">
      <w:pPr>
        <w:jc w:val="both"/>
        <w:rPr>
          <w:rFonts w:ascii="Arial" w:hAnsi="Arial" w:cs="Arial"/>
          <w:sz w:val="24"/>
          <w:szCs w:val="24"/>
        </w:rPr>
      </w:pPr>
      <w:r w:rsidRPr="00AA0A60">
        <w:rPr>
          <w:rFonts w:ascii="Arial" w:hAnsi="Arial" w:cs="Arial"/>
          <w:sz w:val="24"/>
          <w:szCs w:val="24"/>
        </w:rPr>
        <w:t xml:space="preserve"> ¿Cuánto tiempo puede estar la mercancía en el andén?</w:t>
      </w:r>
    </w:p>
    <w:p w14:paraId="2FE14032" w14:textId="77777777" w:rsidR="00AA0A60" w:rsidRDefault="00AA0A60" w:rsidP="00AA0A60">
      <w:pPr>
        <w:jc w:val="both"/>
        <w:rPr>
          <w:rFonts w:ascii="Arial" w:hAnsi="Arial" w:cs="Arial"/>
          <w:sz w:val="24"/>
          <w:szCs w:val="24"/>
        </w:rPr>
      </w:pPr>
      <w:r w:rsidRPr="00AA0A60">
        <w:rPr>
          <w:rFonts w:ascii="Arial" w:hAnsi="Arial" w:cs="Arial"/>
          <w:sz w:val="24"/>
          <w:szCs w:val="24"/>
        </w:rPr>
        <w:t>La mercancía recibida no puede permanecer en el andén más de 6 horas hábiles antes de ubicarse.</w:t>
      </w:r>
    </w:p>
    <w:p w14:paraId="6F687FA6" w14:textId="77777777" w:rsidR="00AA0A60" w:rsidRDefault="00AA0A60" w:rsidP="00AA0A60">
      <w:pPr>
        <w:jc w:val="both"/>
        <w:rPr>
          <w:rFonts w:ascii="Arial" w:hAnsi="Arial" w:cs="Arial"/>
          <w:sz w:val="24"/>
          <w:szCs w:val="24"/>
        </w:rPr>
      </w:pPr>
      <w:r w:rsidRPr="00AA0A60">
        <w:rPr>
          <w:rFonts w:ascii="Arial" w:hAnsi="Arial" w:cs="Arial"/>
          <w:sz w:val="24"/>
          <w:szCs w:val="24"/>
        </w:rPr>
        <w:t>Excepción: El producto de cámara fría no puede esperar en el andén y se ubica de inmediato.</w:t>
      </w:r>
    </w:p>
    <w:p w14:paraId="16F5FA12" w14:textId="77777777" w:rsidR="00AA0A60" w:rsidRDefault="00AA0A60" w:rsidP="00AA0A60">
      <w:pPr>
        <w:jc w:val="both"/>
        <w:rPr>
          <w:rFonts w:ascii="Arial" w:hAnsi="Arial" w:cs="Arial"/>
          <w:sz w:val="24"/>
          <w:szCs w:val="24"/>
        </w:rPr>
      </w:pPr>
      <w:r w:rsidRPr="00AA0A60">
        <w:rPr>
          <w:rFonts w:ascii="Arial" w:hAnsi="Arial" w:cs="Arial"/>
          <w:sz w:val="24"/>
          <w:szCs w:val="24"/>
        </w:rPr>
        <w:t>Ubicación en el archivo: Sección 2.5 Tiempo en andén (Página 4) y Anexo D (Página 18).</w:t>
      </w:r>
    </w:p>
    <w:p w14:paraId="75873444"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 xml:space="preserve"> ¿Qué hacer con una diferencia de inventario?</w:t>
      </w:r>
    </w:p>
    <w:p w14:paraId="5EED0997"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 xml:space="preserve">  La acción depende del porcentaje de la diferencia encontrada al contar contra el sistema:</w:t>
      </w:r>
    </w:p>
    <w:p w14:paraId="4695CD7B"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Menor al 1%: No se corrige en el sistema. Se anota en el formato OP-12 y se revisa hasta el cierre trimestral.</w:t>
      </w:r>
    </w:p>
    <w:p w14:paraId="7BF8C989"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Del 1% al 3%: Se vuelve a contar y el supervisor de turno autoriza el ajuste en el sistema.</w:t>
      </w:r>
    </w:p>
    <w:p w14:paraId="12589584"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Mayor al 3%: Se vuelve a contar, el jefe de bodega autoriza el ajuste y se abre una investigación en las siguientes 48 horas.</w:t>
      </w:r>
    </w:p>
    <w:p w14:paraId="6B6CAF75"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Ubicación en el archivo: Sección 8.2 Qué se hace con las diferencias (Página 11).</w:t>
      </w:r>
    </w:p>
    <w:p w14:paraId="439418C9"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¿En cuántas horas se reporta un daño?</w:t>
      </w:r>
    </w:p>
    <w:p w14:paraId="2387A579"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 xml:space="preserve">Si lo reporta el cliente: Tiene 48 horas siguientes a la entrega para reportarlo con fotografías del empaque y del producto. (Nota: La sección 6.2 menciona 24 horas, </w:t>
      </w:r>
      <w:r w:rsidRPr="00AA0A60">
        <w:rPr>
          <w:rFonts w:ascii="Arial" w:hAnsi="Arial" w:cs="Arial"/>
          <w:sz w:val="24"/>
          <w:szCs w:val="24"/>
        </w:rPr>
        <w:lastRenderedPageBreak/>
        <w:t>pero según la regla de la sección 1.4, prevalece la tabla de la Sección 11 Control de Cambios, la cual actualizó este plazo de 24 a 48 horas en la versión 3.2).</w:t>
      </w:r>
    </w:p>
    <w:p w14:paraId="25E3CD41" w14:textId="77777777" w:rsidR="00AA0A60" w:rsidRPr="00AA0A60" w:rsidRDefault="00AA0A60" w:rsidP="00AA0A60">
      <w:pPr>
        <w:jc w:val="both"/>
        <w:rPr>
          <w:rFonts w:ascii="Arial" w:hAnsi="Arial" w:cs="Arial"/>
          <w:sz w:val="24"/>
          <w:szCs w:val="24"/>
        </w:rPr>
      </w:pPr>
      <w:r w:rsidRPr="00AA0A60">
        <w:rPr>
          <w:rFonts w:ascii="Arial" w:hAnsi="Arial" w:cs="Arial"/>
          <w:sz w:val="24"/>
          <w:szCs w:val="24"/>
        </w:rPr>
        <w:t>Si ocurre o se detecta dentro de la bodega (Incidencia): Se debe registrar dentro de las 4 horas hábiles siguientes al momento en que se detecta en el formato OP-07.</w:t>
      </w:r>
    </w:p>
    <w:p w14:paraId="2F45F63B" w14:textId="77777777" w:rsidR="00AA0A60" w:rsidRDefault="00AA0A60" w:rsidP="00AA0A60">
      <w:pPr>
        <w:jc w:val="both"/>
        <w:rPr>
          <w:rFonts w:ascii="Arial" w:hAnsi="Arial" w:cs="Arial"/>
          <w:sz w:val="24"/>
          <w:szCs w:val="24"/>
        </w:rPr>
      </w:pPr>
      <w:r w:rsidRPr="00AA0A60">
        <w:rPr>
          <w:rFonts w:ascii="Arial" w:hAnsi="Arial" w:cs="Arial"/>
          <w:sz w:val="24"/>
          <w:szCs w:val="24"/>
        </w:rPr>
        <w:t>Ubicación en el archivo: Sección 1.4 (Página 3), Sección 6.2 (Página 9), Sección 7.2 (Página 10), Sección 11 (Página 14) y Anexo D (Página 18).</w:t>
      </w:r>
    </w:p>
    <w:p w14:paraId="2A03F114" w14:textId="77777777" w:rsidR="00AA0A60" w:rsidRDefault="00AA0A60" w:rsidP="00AA0A60">
      <w:pPr>
        <w:jc w:val="both"/>
        <w:rPr>
          <w:rFonts w:ascii="Arial" w:hAnsi="Arial" w:cs="Arial"/>
          <w:sz w:val="24"/>
          <w:szCs w:val="24"/>
        </w:rPr>
      </w:pPr>
      <w:r>
        <w:rPr>
          <w:rFonts w:ascii="Arial" w:hAnsi="Arial" w:cs="Arial"/>
          <w:sz w:val="24"/>
          <w:szCs w:val="24"/>
        </w:rPr>
        <w:t xml:space="preserve">Las preguntas que le haría </w:t>
      </w:r>
      <w:proofErr w:type="gramStart"/>
      <w:r>
        <w:rPr>
          <w:rFonts w:ascii="Arial" w:hAnsi="Arial" w:cs="Arial"/>
          <w:sz w:val="24"/>
          <w:szCs w:val="24"/>
        </w:rPr>
        <w:t>seria</w:t>
      </w:r>
      <w:proofErr w:type="gramEnd"/>
      <w:r>
        <w:rPr>
          <w:rFonts w:ascii="Arial" w:hAnsi="Arial" w:cs="Arial"/>
          <w:sz w:val="24"/>
          <w:szCs w:val="24"/>
        </w:rPr>
        <w:t xml:space="preserve"> que es lo que mas le preocupa para resolver de mayor importancia, saber si incluye información que no se puede dar y por ultimo seria si hay cosas en especifico que no menciona en el documento</w:t>
      </w:r>
    </w:p>
    <w:p w14:paraId="74445638" w14:textId="77777777" w:rsidR="008C67A8" w:rsidRPr="00AA0A60" w:rsidRDefault="008C67A8" w:rsidP="00AA0A60">
      <w:pPr>
        <w:jc w:val="both"/>
        <w:rPr>
          <w:rFonts w:ascii="Arial" w:hAnsi="Arial" w:cs="Arial"/>
          <w:sz w:val="24"/>
          <w:szCs w:val="24"/>
        </w:rPr>
      </w:pPr>
      <w:r>
        <w:rPr>
          <w:rFonts w:ascii="Arial" w:hAnsi="Arial" w:cs="Arial"/>
          <w:sz w:val="24"/>
          <w:szCs w:val="24"/>
        </w:rPr>
        <w:t xml:space="preserve">Al reportar un producto dañado en la sección 6.2 establece </w:t>
      </w:r>
      <w:r w:rsidR="001E276A" w:rsidRPr="001E276A">
        <w:rPr>
          <w:rFonts w:ascii="Arial" w:hAnsi="Arial" w:cs="Arial"/>
          <w:sz w:val="24"/>
          <w:szCs w:val="24"/>
        </w:rPr>
        <w:t>que el cliente debe reportar un producto dañado dentro de las 24 horas siguientes a la entrega. Sin embargo, la Sección 11 (Control de cambios) detalla que en la Versión 3.2 este plazo se amplió a 48 horas</w:t>
      </w:r>
    </w:p>
    <w:sectPr w:rsidR="008C67A8" w:rsidRPr="00AA0A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60"/>
    <w:rsid w:val="001E276A"/>
    <w:rsid w:val="008C67A8"/>
    <w:rsid w:val="00AA0A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6B6B"/>
  <w15:chartTrackingRefBased/>
  <w15:docId w15:val="{46C29B00-C15B-4B8A-B73C-C7F9781E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AA0A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AA0A60"/>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A0A60"/>
    <w:rPr>
      <w:rFonts w:ascii="Times New Roman" w:eastAsia="Times New Roman" w:hAnsi="Times New Roman" w:cs="Times New Roman"/>
      <w:b/>
      <w:bCs/>
      <w:sz w:val="27"/>
      <w:szCs w:val="27"/>
      <w:lang w:eastAsia="es-MX"/>
    </w:rPr>
  </w:style>
  <w:style w:type="character" w:customStyle="1" w:styleId="Ttulo2Car">
    <w:name w:val="Título 2 Car"/>
    <w:basedOn w:val="Fuentedeprrafopredeter"/>
    <w:link w:val="Ttulo2"/>
    <w:uiPriority w:val="9"/>
    <w:rsid w:val="00AA0A60"/>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145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418</Words>
  <Characters>2305</Characters>
  <Application>Microsoft Office Word</Application>
  <DocSecurity>0</DocSecurity>
  <Lines>19</Lines>
  <Paragraphs>5</Paragraphs>
  <ScaleCrop>false</ScaleCrop>
  <HeadingPairs>
    <vt:vector size="4" baseType="variant">
      <vt:variant>
        <vt:lpstr>Título</vt:lpstr>
      </vt:variant>
      <vt:variant>
        <vt:i4>1</vt:i4>
      </vt:variant>
      <vt:variant>
        <vt:lpstr>Títulos</vt:lpstr>
      </vt:variant>
      <vt:variant>
        <vt:i4>1</vt:i4>
      </vt:variant>
    </vt:vector>
  </HeadingPairs>
  <TitlesOfParts>
    <vt:vector size="2" baseType="lpstr">
      <vt:lpstr/>
      <vt:lpstr>        Proyecto   Clase 5   Rosa comprueba que su asistente responde con el manual y no</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Mota</dc:creator>
  <cp:keywords/>
  <dc:description/>
  <cp:lastModifiedBy>Yasmin Mota</cp:lastModifiedBy>
  <cp:revision>1</cp:revision>
  <dcterms:created xsi:type="dcterms:W3CDTF">2026-10-30T00:33:00Z</dcterms:created>
  <dcterms:modified xsi:type="dcterms:W3CDTF">2026-10-30T01:05:00Z</dcterms:modified>
</cp:coreProperties>
</file>