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2F80ED"/>
          <w:sz w:val="18"/>
          <w:szCs w:val="18"/>
        </w:rPr>
        <w:t xml:space="preserve">PROPUESTA DE SERVICIOS PROFESIONALES</w:t>
      </w:r>
    </w:p>
    <w:p>
      <w:pPr>
        <w:spacing w:after="60"/>
      </w:pPr>
      <w:r>
        <w:rPr>
          <w:b/>
          <w:bCs/>
          <w:color w:val="0F1C2E"/>
          <w:sz w:val="36"/>
          <w:szCs w:val="36"/>
        </w:rPr>
        <w:t xml:space="preserve">Acompañamiento en la Modernización de Sistemas</w:t>
      </w:r>
    </w:p>
    <w:p>
      <w:pPr>
        <w:spacing w:after="240"/>
      </w:pPr>
      <w:r>
        <w:rPr>
          <w:i/>
          <w:iCs/>
          <w:color w:val="5A6E85"/>
          <w:sz w:val="20"/>
          <w:szCs w:val="20"/>
        </w:rPr>
        <w:t xml:space="preserve">Modalidad de acompañamiento guiado — el equipo ejecuta, nosotros guiamos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r>
              <w:rPr>
                <w:b/>
                <w:bCs/>
                <w:color w:val="0F1C2E"/>
              </w:rPr>
              <w:t xml:space="preserve">Destinatario</w:t>
            </w:r>
          </w:p>
        </w:tc>
        <w:tc>
          <w:tcPr>
            <w:tcW w:type="dxa" w:w="6960"/>
            <w:tcBorders>
              <w:top w:val="single" w:color="D5DEE9" w:sz="4"/>
              <w:left w:val="single" w:color="D5DEE9" w:sz="4"/>
              <w:bottom w:val="single" w:color="D5DEE9" w:sz="4"/>
              <w:right w:val="single" w:color="D5DEE9" w:sz="4"/>
            </w:tcBorders>
            <w:tcMar>
              <w:top w:type="dxa" w:w="100"/>
              <w:left w:type="dxa" w:w="140"/>
              <w:bottom w:type="dxa" w:w="100"/>
              <w:right w:type="dxa" w:w="140"/>
            </w:tcMar>
          </w:tcPr>
          <w:p>
            <w:r>
              <w:rPr>
                <w:color w:val="0F1C2E"/>
              </w:rPr>
              <w:t xml:space="preserve">Ministerio de Hacienda</w:t>
            </w:r>
          </w:p>
        </w:tc>
      </w:tr>
      <w:tr>
        <w:tc>
          <w:tcPr>
            <w:tcW w:type="dxa" w:w="240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r>
              <w:rPr>
                <w:b/>
                <w:bCs/>
                <w:color w:val="0F1C2E"/>
              </w:rPr>
              <w:t xml:space="preserve">Atención</w:t>
            </w:r>
          </w:p>
        </w:tc>
        <w:tc>
          <w:tcPr>
            <w:tcW w:type="dxa" w:w="6960"/>
            <w:tcBorders>
              <w:top w:val="single" w:color="D5DEE9" w:sz="4"/>
              <w:left w:val="single" w:color="D5DEE9" w:sz="4"/>
              <w:bottom w:val="single" w:color="D5DEE9" w:sz="4"/>
              <w:right w:val="single" w:color="D5DEE9" w:sz="4"/>
            </w:tcBorders>
            <w:tcMar>
              <w:top w:type="dxa" w:w="100"/>
              <w:left w:type="dxa" w:w="140"/>
              <w:bottom w:type="dxa" w:w="100"/>
              <w:right w:type="dxa" w:w="140"/>
            </w:tcMar>
          </w:tcPr>
          <w:p>
            <w:r>
              <w:rPr>
                <w:color w:val="0F1C2E"/>
              </w:rPr>
              <w:t xml:space="preserve">Santiago Besin</w:t>
            </w:r>
          </w:p>
        </w:tc>
      </w:tr>
      <w:tr>
        <w:tc>
          <w:tcPr>
            <w:tcW w:type="dxa" w:w="240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r>
              <w:rPr>
                <w:b/>
                <w:bCs/>
                <w:color w:val="0F1C2E"/>
              </w:rPr>
              <w:t xml:space="preserve">Oferente</w:t>
            </w:r>
          </w:p>
        </w:tc>
        <w:tc>
          <w:tcPr>
            <w:tcW w:type="dxa" w:w="6960"/>
            <w:tcBorders>
              <w:top w:val="single" w:color="D5DEE9" w:sz="4"/>
              <w:left w:val="single" w:color="D5DEE9" w:sz="4"/>
              <w:bottom w:val="single" w:color="D5DEE9" w:sz="4"/>
              <w:right w:val="single" w:color="D5DEE9" w:sz="4"/>
            </w:tcBorders>
            <w:tcMar>
              <w:top w:type="dxa" w:w="100"/>
              <w:left w:type="dxa" w:w="140"/>
              <w:bottom w:type="dxa" w:w="100"/>
              <w:right w:type="dxa" w:w="140"/>
            </w:tcMar>
          </w:tcPr>
          <w:p>
            <w:r>
              <w:rPr>
                <w:color w:val="0F1C2E"/>
              </w:rPr>
              <w:t xml:space="preserve">GG Soluciones — CUIT 20-34005631-1</w:t>
            </w:r>
          </w:p>
        </w:tc>
      </w:tr>
      <w:tr>
        <w:tc>
          <w:tcPr>
            <w:tcW w:type="dxa" w:w="240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r>
              <w:rPr>
                <w:b/>
                <w:bCs/>
                <w:color w:val="0F1C2E"/>
              </w:rPr>
              <w:t xml:space="preserve">Lugar y fecha</w:t>
            </w:r>
          </w:p>
        </w:tc>
        <w:tc>
          <w:tcPr>
            <w:tcW w:type="dxa" w:w="6960"/>
            <w:tcBorders>
              <w:top w:val="single" w:color="D5DEE9" w:sz="4"/>
              <w:left w:val="single" w:color="D5DEE9" w:sz="4"/>
              <w:bottom w:val="single" w:color="D5DEE9" w:sz="4"/>
              <w:right w:val="single" w:color="D5DEE9" w:sz="4"/>
            </w:tcBorders>
            <w:tcMar>
              <w:top w:type="dxa" w:w="100"/>
              <w:left w:type="dxa" w:w="140"/>
              <w:bottom w:type="dxa" w:w="100"/>
              <w:right w:type="dxa" w:w="140"/>
            </w:tcMar>
          </w:tcPr>
          <w:p>
            <w:r>
              <w:rPr>
                <w:color w:val="0F1C2E"/>
              </w:rPr>
              <w:t xml:space="preserve">San Salvador de Jujuy, 29 de mayo de 2026</w:t>
            </w:r>
          </w:p>
        </w:tc>
      </w:tr>
      <w:tr>
        <w:tc>
          <w:tcPr>
            <w:tcW w:type="dxa" w:w="240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r>
              <w:rPr>
                <w:b/>
                <w:bCs/>
                <w:color w:val="0F1C2E"/>
              </w:rPr>
              <w:t xml:space="preserve">Validez</w:t>
            </w:r>
          </w:p>
        </w:tc>
        <w:tc>
          <w:tcPr>
            <w:tcW w:type="dxa" w:w="6960"/>
            <w:tcBorders>
              <w:top w:val="single" w:color="D5DEE9" w:sz="4"/>
              <w:left w:val="single" w:color="D5DEE9" w:sz="4"/>
              <w:bottom w:val="single" w:color="D5DEE9" w:sz="4"/>
              <w:right w:val="single" w:color="D5DEE9" w:sz="4"/>
            </w:tcBorders>
            <w:tcMar>
              <w:top w:type="dxa" w:w="100"/>
              <w:left w:type="dxa" w:w="140"/>
              <w:bottom w:type="dxa" w:w="100"/>
              <w:right w:type="dxa" w:w="140"/>
            </w:tcMar>
          </w:tcPr>
          <w:p>
            <w:r>
              <w:rPr>
                <w:color w:val="0F1C2E"/>
              </w:rPr>
              <w:t xml:space="preserve">10 días hábiles desde la fecha de emisión</w:t>
            </w:r>
          </w:p>
        </w:tc>
      </w:tr>
    </w:tbl>
    <w:p>
      <w:pPr>
        <w:spacing w:after="120"/>
      </w:pPr>
    </w:p>
    <w:p>
      <w:pPr>
        <w:pStyle w:val="Heading1"/>
      </w:pPr>
      <w:r>
        <w:t xml:space="preserve">1. Contexto y objetivo</w:t>
      </w:r>
    </w:p>
    <w:p>
      <w:pPr>
        <w:spacing w:after="140" w:line="276"/>
      </w:pPr>
      <w:r>
        <w:t xml:space="preserve">El Ministerio de Hacienda se encuentra en proceso de modernización de uno de sus sistemas internos. La intención es que el equipo propio lleve adelante la ejecución del trabajo, fortaleciendo sus capacidades, con el acompañamiento de un profesional senior que aporte criterio técnico, metodología y revisión en cada decisión relevante.</w:t>
      </w:r>
    </w:p>
    <w:p>
      <w:pPr>
        <w:spacing w:after="140" w:line="276"/>
      </w:pPr>
      <w:r>
        <w:t xml:space="preserve">El objetivo de esta propuesta es brindar ese acompañamiento técnico-estratégico durante las etapas de análisis y diseño de la modernización, de modo que el equipo avance con seguridad, evite retrabajos y consolide conocimiento propio aplicable a iniciativas futuras.</w:t>
      </w:r>
    </w:p>
    <w:p>
      <w:pPr>
        <w:pStyle w:val="Heading1"/>
      </w:pPr>
      <w:r>
        <w:t xml:space="preserve">2. Modalidad de trabajo</w:t>
      </w:r>
    </w:p>
    <w:p>
      <w:pPr>
        <w:spacing w:after="140" w:line="276"/>
      </w:pPr>
      <w:r>
        <w:t xml:space="preserve">El servicio se presta bajo una modalidad de acompañamiento guiado: la ejecución permanece en manos del equipo del Ministerio, mientras que GG Soluciones interviene como guía técnica. No se trata de un desarrollo llave en mano, sino de un proceso de mentoring orientado a que el equipo gane autonomía.</w:t>
      </w:r>
    </w:p>
    <w:p>
      <w:pPr>
        <w:pStyle w:val="ListParagraph"/>
        <w:numPr>
          <w:ilvl w:val="0"/>
          <w:numId w:val="2"/>
        </w:numPr>
        <w:spacing w:after="60" w:line="276"/>
      </w:pPr>
      <w:r>
        <w:t xml:space="preserve">Sesiones de trabajo en vivo con el equipo, con foco en análisis, diseño y decisiones técnicas.</w:t>
      </w:r>
    </w:p>
    <w:p>
      <w:pPr>
        <w:pStyle w:val="ListParagraph"/>
        <w:numPr>
          <w:ilvl w:val="0"/>
          <w:numId w:val="2"/>
        </w:numPr>
        <w:spacing w:after="60" w:line="276"/>
      </w:pPr>
      <w:r>
        <w:t xml:space="preserve">Revisión de los avances producidos por el equipo entre sesiones.</w:t>
      </w:r>
    </w:p>
    <w:p>
      <w:pPr>
        <w:pStyle w:val="ListParagraph"/>
        <w:numPr>
          <w:ilvl w:val="0"/>
          <w:numId w:val="2"/>
        </w:numPr>
        <w:spacing w:after="60" w:line="276"/>
      </w:pPr>
      <w:r>
        <w:t xml:space="preserve">Aporte de estándares, buenas prácticas y criterios de arquitectura.</w:t>
      </w:r>
    </w:p>
    <w:p>
      <w:pPr>
        <w:pStyle w:val="ListParagraph"/>
        <w:numPr>
          <w:ilvl w:val="0"/>
          <w:numId w:val="2"/>
        </w:numPr>
        <w:spacing w:after="60" w:line="276"/>
      </w:pPr>
      <w:r>
        <w:t xml:space="preserve">Transferencia de conocimiento continua durante todo el período.</w:t>
      </w:r>
    </w:p>
    <w:p>
      <w:pPr>
        <w:pStyle w:val="Heading1"/>
      </w:pPr>
      <w:r>
        <w:t xml:space="preserve">3. Alcance del acompañamiento</w:t>
      </w:r>
    </w:p>
    <w:p>
      <w:pPr>
        <w:pStyle w:val="Heading2"/>
      </w:pPr>
      <w:r>
        <w:t xml:space="preserve">Incluye</w:t>
      </w:r>
    </w:p>
    <w:p>
      <w:pPr>
        <w:pStyle w:val="ListParagraph"/>
        <w:numPr>
          <w:ilvl w:val="0"/>
          <w:numId w:val="2"/>
        </w:numPr>
        <w:spacing w:after="60" w:line="276"/>
      </w:pPr>
      <w:r>
        <w:t xml:space="preserve">Análisis del sistema interno actual junto al equipo.</w:t>
      </w:r>
    </w:p>
    <w:p>
      <w:pPr>
        <w:pStyle w:val="ListParagraph"/>
        <w:numPr>
          <w:ilvl w:val="0"/>
          <w:numId w:val="2"/>
        </w:numPr>
        <w:spacing w:after="60" w:line="276"/>
      </w:pPr>
      <w:r>
        <w:t xml:space="preserve">Diseño de la arquitectura y definición técnica de la modernización, en forma compartida.</w:t>
      </w:r>
    </w:p>
    <w:p>
      <w:pPr>
        <w:pStyle w:val="ListParagraph"/>
        <w:numPr>
          <w:ilvl w:val="0"/>
          <w:numId w:val="2"/>
        </w:numPr>
        <w:spacing w:after="60" w:line="276"/>
      </w:pPr>
      <w:r>
        <w:t xml:space="preserve">Lineamientos de buenas prácticas, estándares y criterios de calidad.</w:t>
      </w:r>
    </w:p>
    <w:p>
      <w:pPr>
        <w:pStyle w:val="ListParagraph"/>
        <w:numPr>
          <w:ilvl w:val="0"/>
          <w:numId w:val="2"/>
        </w:numPr>
        <w:spacing w:after="60" w:line="276"/>
      </w:pPr>
      <w:r>
        <w:t xml:space="preserve">Revisión técnica y funcional de los avances del equipo.</w:t>
      </w:r>
    </w:p>
    <w:p>
      <w:pPr>
        <w:pStyle w:val="ListParagraph"/>
        <w:numPr>
          <w:ilvl w:val="0"/>
          <w:numId w:val="2"/>
        </w:numPr>
        <w:spacing w:after="60" w:line="276"/>
      </w:pPr>
      <w:r>
        <w:t xml:space="preserve">Acompañamiento en la priorización y el ordenamiento del trabajo.</w:t>
      </w:r>
    </w:p>
    <w:p>
      <w:pPr>
        <w:pStyle w:val="ListParagraph"/>
        <w:numPr>
          <w:ilvl w:val="0"/>
          <w:numId w:val="2"/>
        </w:numPr>
        <w:spacing w:after="60" w:line="276"/>
      </w:pPr>
      <w:r>
        <w:t xml:space="preserve">Recomendaciones documentadas y minutas de las decisiones tomadas.</w:t>
      </w:r>
    </w:p>
    <w:p>
      <w:pPr>
        <w:pStyle w:val="Heading2"/>
      </w:pPr>
      <w:r>
        <w:t xml:space="preserve">No incluye</w:t>
      </w:r>
    </w:p>
    <w:p>
      <w:pPr>
        <w:pStyle w:val="ListParagraph"/>
        <w:numPr>
          <w:ilvl w:val="0"/>
          <w:numId w:val="2"/>
        </w:numPr>
        <w:spacing w:after="60" w:line="276"/>
      </w:pPr>
      <w:r>
        <w:t xml:space="preserve">Desarrollo o implementación de software por parte de GG Soluciones.</w:t>
      </w:r>
    </w:p>
    <w:p>
      <w:pPr>
        <w:pStyle w:val="ListParagraph"/>
        <w:numPr>
          <w:ilvl w:val="0"/>
          <w:numId w:val="2"/>
        </w:numPr>
        <w:spacing w:after="60" w:line="276"/>
      </w:pPr>
      <w:r>
        <w:t xml:space="preserve">Operación, soporte o mantenimiento de los sistemas.</w:t>
      </w:r>
    </w:p>
    <w:p>
      <w:pPr>
        <w:pStyle w:val="ListParagraph"/>
        <w:numPr>
          <w:ilvl w:val="0"/>
          <w:numId w:val="2"/>
        </w:numPr>
        <w:spacing w:after="60" w:line="276"/>
      </w:pPr>
      <w:r>
        <w:t xml:space="preserve">Provisión de infraestructura, licencias o servicios de terceros.</w:t>
      </w:r>
    </w:p>
    <w:p>
      <w:pPr>
        <w:pStyle w:val="Heading1"/>
      </w:pPr>
      <w:r>
        <w:t xml:space="preserve">4. Metodología por etapas</w:t>
      </w:r>
    </w:p>
    <w:p>
      <w:pPr>
        <w:pStyle w:val="ListParagraph"/>
        <w:numPr>
          <w:ilvl w:val="0"/>
          <w:numId w:val="3"/>
        </w:numPr>
        <w:spacing w:after="60"/>
      </w:pPr>
      <w:r>
        <w:rPr>
          <w:b/>
          <w:bCs/>
        </w:rPr>
        <w:t xml:space="preserve">Relevamiento: </w:t>
      </w:r>
      <w:r>
        <w:t xml:space="preserve">comprensión del sistema actual, necesidades y objetivos de la modernización.</w:t>
      </w:r>
    </w:p>
    <w:p>
      <w:pPr>
        <w:pStyle w:val="ListParagraph"/>
        <w:numPr>
          <w:ilvl w:val="0"/>
          <w:numId w:val="3"/>
        </w:numPr>
        <w:spacing w:after="60"/>
      </w:pPr>
      <w:r>
        <w:rPr>
          <w:b/>
          <w:bCs/>
        </w:rPr>
        <w:t xml:space="preserve">Análisis y diseño: </w:t>
      </w:r>
      <w:r>
        <w:t xml:space="preserve">definición de la arquitectura objetivo, criterios técnicos y plan de trabajo, junto al equipo.</w:t>
      </w:r>
    </w:p>
    <w:p>
      <w:pPr>
        <w:pStyle w:val="ListParagraph"/>
        <w:numPr>
          <w:ilvl w:val="0"/>
          <w:numId w:val="3"/>
        </w:numPr>
        <w:spacing w:after="60"/>
      </w:pPr>
      <w:r>
        <w:rPr>
          <w:b/>
          <w:bCs/>
        </w:rPr>
        <w:t xml:space="preserve">Acompañamiento de la ejecución: </w:t>
      </w:r>
      <w:r>
        <w:t xml:space="preserve">revisión de avances, resolución de dudas y ajuste de decisiones a medida que el equipo ejecuta.</w:t>
      </w:r>
    </w:p>
    <w:p>
      <w:pPr>
        <w:pStyle w:val="ListParagraph"/>
        <w:numPr>
          <w:ilvl w:val="0"/>
          <w:numId w:val="3"/>
        </w:numPr>
        <w:spacing w:after="140"/>
      </w:pPr>
      <w:r>
        <w:rPr>
          <w:b/>
          <w:bCs/>
        </w:rPr>
        <w:t xml:space="preserve">Cierre y transferencia: </w:t>
      </w:r>
      <w:r>
        <w:t xml:space="preserve">consolidación de lo aprendido y recomendaciones para la continuidad.</w:t>
      </w:r>
    </w:p>
    <w:p>
      <w:pPr>
        <w:pStyle w:val="Heading1"/>
      </w:pPr>
      <w:r>
        <w:t xml:space="preserve">5. Dedicación y duración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r>
              <w:rPr>
                <w:b/>
                <w:bCs/>
                <w:color w:val="0F1C2E"/>
              </w:rPr>
              <w:t xml:space="preserve">Frecuencia</w:t>
            </w:r>
          </w:p>
        </w:tc>
        <w:tc>
          <w:tcPr>
            <w:tcW w:type="dxa" w:w="6360"/>
            <w:tcBorders>
              <w:top w:val="single" w:color="D5DEE9" w:sz="4"/>
              <w:left w:val="single" w:color="D5DEE9" w:sz="4"/>
              <w:bottom w:val="single" w:color="D5DEE9" w:sz="4"/>
              <w:right w:val="single" w:color="D5DEE9" w:sz="4"/>
            </w:tcBorders>
            <w:tcMar>
              <w:top w:type="dxa" w:w="100"/>
              <w:left w:type="dxa" w:w="140"/>
              <w:bottom w:type="dxa" w:w="100"/>
              <w:right w:type="dxa" w:w="140"/>
            </w:tcMar>
          </w:tcPr>
          <w:p>
            <w:r>
              <w:rPr>
                <w:color w:val="0F1C2E"/>
              </w:rPr>
              <w:t xml:space="preserve">2 sesiones semanales de 1,5 horas cada una</w:t>
            </w:r>
          </w:p>
        </w:tc>
      </w:tr>
      <w:tr>
        <w:tc>
          <w:tcPr>
            <w:tcW w:type="dxa" w:w="300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r>
              <w:rPr>
                <w:b/>
                <w:bCs/>
                <w:color w:val="0F1C2E"/>
              </w:rPr>
              <w:t xml:space="preserve">Modalidad</w:t>
            </w:r>
          </w:p>
        </w:tc>
        <w:tc>
          <w:tcPr>
            <w:tcW w:type="dxa" w:w="6360"/>
            <w:tcBorders>
              <w:top w:val="single" w:color="D5DEE9" w:sz="4"/>
              <w:left w:val="single" w:color="D5DEE9" w:sz="4"/>
              <w:bottom w:val="single" w:color="D5DEE9" w:sz="4"/>
              <w:right w:val="single" w:color="D5DEE9" w:sz="4"/>
            </w:tcBorders>
            <w:tcMar>
              <w:top w:type="dxa" w:w="100"/>
              <w:left w:type="dxa" w:w="140"/>
              <w:bottom w:type="dxa" w:w="100"/>
              <w:right w:type="dxa" w:w="140"/>
            </w:tcMar>
          </w:tcPr>
          <w:p>
            <w:r>
              <w:rPr>
                <w:color w:val="0F1C2E"/>
              </w:rPr>
              <w:t xml:space="preserve">Remota (videollamada) o presencial a coordinar</w:t>
            </w:r>
          </w:p>
        </w:tc>
      </w:tr>
      <w:tr>
        <w:tc>
          <w:tcPr>
            <w:tcW w:type="dxa" w:w="300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r>
              <w:rPr>
                <w:b/>
                <w:bCs/>
                <w:color w:val="0F1C2E"/>
              </w:rPr>
              <w:t xml:space="preserve">Trabajo entre sesiones</w:t>
            </w:r>
          </w:p>
        </w:tc>
        <w:tc>
          <w:tcPr>
            <w:tcW w:type="dxa" w:w="6360"/>
            <w:tcBorders>
              <w:top w:val="single" w:color="D5DEE9" w:sz="4"/>
              <w:left w:val="single" w:color="D5DEE9" w:sz="4"/>
              <w:bottom w:val="single" w:color="D5DEE9" w:sz="4"/>
              <w:right w:val="single" w:color="D5DEE9" w:sz="4"/>
            </w:tcBorders>
            <w:tcMar>
              <w:top w:type="dxa" w:w="100"/>
              <w:left w:type="dxa" w:w="140"/>
              <w:bottom w:type="dxa" w:w="100"/>
              <w:right w:type="dxa" w:w="140"/>
            </w:tcMar>
          </w:tcPr>
          <w:p>
            <w:r>
              <w:rPr>
                <w:color w:val="0F1C2E"/>
              </w:rPr>
              <w:t xml:space="preserve">Análisis, diseño y revisión de los avances del equipo</w:t>
            </w:r>
          </w:p>
        </w:tc>
      </w:tr>
      <w:tr>
        <w:tc>
          <w:tcPr>
            <w:tcW w:type="dxa" w:w="300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r>
              <w:rPr>
                <w:b/>
                <w:bCs/>
                <w:color w:val="0F1C2E"/>
              </w:rPr>
              <w:t xml:space="preserve">Duración estimada</w:t>
            </w:r>
          </w:p>
        </w:tc>
        <w:tc>
          <w:tcPr>
            <w:tcW w:type="dxa" w:w="6360"/>
            <w:tcBorders>
              <w:top w:val="single" w:color="D5DEE9" w:sz="4"/>
              <w:left w:val="single" w:color="D5DEE9" w:sz="4"/>
              <w:bottom w:val="single" w:color="D5DEE9" w:sz="4"/>
              <w:right w:val="single" w:color="D5DEE9" w:sz="4"/>
            </w:tcBorders>
            <w:tcMar>
              <w:top w:type="dxa" w:w="100"/>
              <w:left w:type="dxa" w:w="140"/>
              <w:bottom w:type="dxa" w:w="100"/>
              <w:right w:type="dxa" w:w="140"/>
            </w:tcMar>
          </w:tcPr>
          <w:p>
            <w:r>
              <w:rPr>
                <w:color w:val="0F1C2E"/>
              </w:rPr>
              <w:t xml:space="preserve">2 a 3 meses, según el ritmo de avance del equipo</w:t>
            </w:r>
          </w:p>
        </w:tc>
      </w:tr>
    </w:tbl>
    <w:p>
      <w:pPr>
        <w:spacing w:after="120"/>
      </w:pPr>
    </w:p>
    <w:p>
      <w:pPr>
        <w:pStyle w:val="Heading1"/>
      </w:pPr>
      <w:r>
        <w:t xml:space="preserve">6. Entregables</w:t>
      </w:r>
    </w:p>
    <w:p>
      <w:pPr>
        <w:pStyle w:val="ListParagraph"/>
        <w:numPr>
          <w:ilvl w:val="0"/>
          <w:numId w:val="2"/>
        </w:numPr>
        <w:spacing w:after="60" w:line="276"/>
      </w:pPr>
      <w:r>
        <w:t xml:space="preserve">Documento de análisis del sistema actual.</w:t>
      </w:r>
    </w:p>
    <w:p>
      <w:pPr>
        <w:pStyle w:val="ListParagraph"/>
        <w:numPr>
          <w:ilvl w:val="0"/>
          <w:numId w:val="2"/>
        </w:numPr>
        <w:spacing w:after="60" w:line="276"/>
      </w:pPr>
      <w:r>
        <w:t xml:space="preserve">Diseño de arquitectura objetivo y definición técnica.</w:t>
      </w:r>
    </w:p>
    <w:p>
      <w:pPr>
        <w:pStyle w:val="ListParagraph"/>
        <w:numPr>
          <w:ilvl w:val="0"/>
          <w:numId w:val="2"/>
        </w:numPr>
        <w:spacing w:after="60" w:line="276"/>
      </w:pPr>
      <w:r>
        <w:t xml:space="preserve">Minutas de decisiones y recomendaciones por sesión.</w:t>
      </w:r>
    </w:p>
    <w:p>
      <w:pPr>
        <w:pStyle w:val="ListParagraph"/>
        <w:numPr>
          <w:ilvl w:val="0"/>
          <w:numId w:val="2"/>
        </w:numPr>
        <w:spacing w:after="60" w:line="276"/>
      </w:pPr>
      <w:r>
        <w:t xml:space="preserve">Informe de cierre con próximos pasos sugeridos.</w:t>
      </w:r>
    </w:p>
    <w:p>
      <w:pPr>
        <w:pStyle w:val="Heading1"/>
      </w:pPr>
      <w:r>
        <w:t xml:space="preserve">7. Inversión</w:t>
      </w:r>
    </w:p>
    <w:p>
      <w:pPr>
        <w:spacing w:after="140" w:line="276"/>
      </w:pPr>
      <w:r>
        <w:t xml:space="preserve">Los valores se expresan en pesos argentinos. El servicio se factura de forma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060"/>
        <w:gridCol w:w="1900"/>
      </w:tblGrid>
      <w:tr>
        <w:tc>
          <w:tcPr>
            <w:tcW w:type="dxa" w:w="3400"/>
            <w:tcBorders>
              <w:top w:val="single" w:color="D5DEE9" w:sz="4"/>
              <w:left w:val="single" w:color="D5DEE9" w:sz="4"/>
              <w:bottom w:val="single" w:color="D5DEE9" w:sz="4"/>
              <w:right w:val="single" w:color="D5DEE9" w:sz="4"/>
            </w:tcBorders>
            <w:shd w:fill="1A4FA0" w:val="clear"/>
            <w:tcMar>
              <w:top w:type="dxa" w:w="100"/>
              <w:left w:type="dxa" w:w="140"/>
              <w:bottom w:type="dxa" w:w="100"/>
              <w:right w:type="dxa" w:w="140"/>
            </w:tcMar>
          </w:tcPr>
          <w:p>
            <w:r>
              <w:rPr>
                <w:b/>
                <w:bCs/>
                <w:color w:val="FFFFFF"/>
              </w:rPr>
              <w:t xml:space="preserve">Concepto</w:t>
            </w:r>
          </w:p>
        </w:tc>
        <w:tc>
          <w:tcPr>
            <w:tcW w:type="dxa" w:w="4060"/>
            <w:tcBorders>
              <w:top w:val="single" w:color="D5DEE9" w:sz="4"/>
              <w:left w:val="single" w:color="D5DEE9" w:sz="4"/>
              <w:bottom w:val="single" w:color="D5DEE9" w:sz="4"/>
              <w:right w:val="single" w:color="D5DEE9" w:sz="4"/>
            </w:tcBorders>
            <w:shd w:fill="1A4FA0" w:val="clear"/>
            <w:tcMar>
              <w:top w:type="dxa" w:w="100"/>
              <w:left w:type="dxa" w:w="140"/>
              <w:bottom w:type="dxa" w:w="100"/>
              <w:right w:type="dxa" w:w="140"/>
            </w:tcMar>
          </w:tcPr>
          <w:p>
            <w:r>
              <w:rPr>
                <w:b/>
                <w:bCs/>
                <w:color w:val="FFFFFF"/>
              </w:rPr>
              <w:t xml:space="preserve">Detalle</w:t>
            </w:r>
          </w:p>
        </w:tc>
        <w:tc>
          <w:tcPr>
            <w:tcW w:type="dxa" w:w="1900"/>
            <w:tcBorders>
              <w:top w:val="single" w:color="D5DEE9" w:sz="4"/>
              <w:left w:val="single" w:color="D5DEE9" w:sz="4"/>
              <w:bottom w:val="single" w:color="D5DEE9" w:sz="4"/>
              <w:right w:val="single" w:color="D5DEE9" w:sz="4"/>
            </w:tcBorders>
            <w:shd w:fill="1A4FA0" w:val="clear"/>
            <w:tcMar>
              <w:top w:type="dxa" w:w="100"/>
              <w:left w:type="dxa" w:w="140"/>
              <w:bottom w:type="dxa" w:w="100"/>
              <w:right w:type="dxa" w:w="140"/>
            </w:tcMar>
          </w:tcPr>
          <w:p>
            <w:pPr>
              <w:jc w:val="right"/>
            </w:pPr>
            <w:r>
              <w:rPr>
                <w:b/>
                <w:bCs/>
                <w:color w:val="FFFFFF"/>
              </w:rPr>
              <w:t xml:space="preserve">Valor</w:t>
            </w:r>
          </w:p>
        </w:tc>
      </w:tr>
      <w:tr>
        <w:tc>
          <w:tcPr>
            <w:tcW w:type="dxa" w:w="340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r>
              <w:rPr>
                <w:b/>
                <w:bCs/>
                <w:color w:val="0F1C2E"/>
              </w:rPr>
              <w:t xml:space="preserve">Honorario mensual</w:t>
            </w:r>
          </w:p>
        </w:tc>
        <w:tc>
          <w:tcPr>
            <w:tcW w:type="dxa" w:w="4060"/>
            <w:tcBorders>
              <w:top w:val="single" w:color="D5DEE9" w:sz="4"/>
              <w:left w:val="single" w:color="D5DEE9" w:sz="4"/>
              <w:bottom w:val="single" w:color="D5DEE9" w:sz="4"/>
              <w:right w:val="single" w:color="D5DEE9" w:sz="4"/>
            </w:tcBorders>
            <w:tcMar>
              <w:top w:type="dxa" w:w="100"/>
              <w:left w:type="dxa" w:w="140"/>
              <w:bottom w:type="dxa" w:w="100"/>
              <w:right w:type="dxa" w:w="140"/>
            </w:tcMar>
          </w:tcPr>
          <w:p>
            <w:r>
              <w:rPr>
                <w:color w:val="0F1C2E"/>
              </w:rPr>
              <w:t xml:space="preserve">Acompañamiento guiado: 2 sesiones semanales de 1,5 h + análisis, diseño y revisión</w:t>
            </w:r>
          </w:p>
        </w:tc>
        <w:tc>
          <w:tcPr>
            <w:tcW w:type="dxa" w:w="1900"/>
            <w:tcBorders>
              <w:top w:val="single" w:color="D5DEE9" w:sz="4"/>
              <w:left w:val="single" w:color="D5DEE9" w:sz="4"/>
              <w:bottom w:val="single" w:color="D5DEE9" w:sz="4"/>
              <w:right w:val="single" w:color="D5DEE9" w:sz="4"/>
            </w:tcBorders>
            <w:tcMar>
              <w:top w:type="dxa" w:w="100"/>
              <w:left w:type="dxa" w:w="140"/>
              <w:bottom w:type="dxa" w:w="100"/>
              <w:right w:type="dxa" w:w="140"/>
            </w:tcMar>
          </w:tcPr>
          <w:p>
            <w:pPr>
              <w:jc w:val="right"/>
            </w:pPr>
            <w:r>
              <w:rPr>
                <w:b/>
                <w:bCs/>
                <w:color w:val="0F1C2E"/>
              </w:rPr>
              <w:t xml:space="preserve">$1.500.000</w:t>
            </w:r>
          </w:p>
        </w:tc>
      </w:tr>
      <w:tr>
        <w:tc>
          <w:tcPr>
            <w:tcW w:type="dxa" w:w="340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r>
              <w:rPr>
                <w:b/>
                <w:bCs/>
                <w:color w:val="0F1C2E"/>
              </w:rPr>
              <w:t xml:space="preserve">Duración estimada</w:t>
            </w:r>
          </w:p>
        </w:tc>
        <w:tc>
          <w:tcPr>
            <w:tcW w:type="dxa" w:w="4060"/>
            <w:tcBorders>
              <w:top w:val="single" w:color="D5DEE9" w:sz="4"/>
              <w:left w:val="single" w:color="D5DEE9" w:sz="4"/>
              <w:bottom w:val="single" w:color="D5DEE9" w:sz="4"/>
              <w:right w:val="single" w:color="D5DEE9" w:sz="4"/>
            </w:tcBorders>
            <w:tcMar>
              <w:top w:type="dxa" w:w="100"/>
              <w:left w:type="dxa" w:w="140"/>
              <w:bottom w:type="dxa" w:w="100"/>
              <w:right w:type="dxa" w:w="140"/>
            </w:tcMar>
          </w:tcPr>
          <w:p>
            <w:r>
              <w:rPr>
                <w:color w:val="0F1C2E"/>
              </w:rPr>
              <w:t xml:space="preserve">2 a 3 meses</w:t>
            </w:r>
          </w:p>
        </w:tc>
        <w:tc>
          <w:tcPr>
            <w:tcW w:type="dxa" w:w="1900"/>
            <w:tcBorders>
              <w:top w:val="single" w:color="D5DEE9" w:sz="4"/>
              <w:left w:val="single" w:color="D5DEE9" w:sz="4"/>
              <w:bottom w:val="single" w:color="D5DEE9" w:sz="4"/>
              <w:right w:val="single" w:color="D5DEE9" w:sz="4"/>
            </w:tcBorders>
            <w:tcMar>
              <w:top w:type="dxa" w:w="100"/>
              <w:left w:type="dxa" w:w="140"/>
              <w:bottom w:type="dxa" w:w="100"/>
              <w:right w:type="dxa" w:w="140"/>
            </w:tcMar>
          </w:tcPr>
          <w:p>
            <w:pPr>
              <w:jc w:val="right"/>
            </w:pPr>
            <w:r>
              <w:rPr>
                <w:color w:val="5A6E85"/>
              </w:rPr>
              <w:t xml:space="preserve">—</w:t>
            </w:r>
          </w:p>
        </w:tc>
      </w:tr>
      <w:tr>
        <w:tc>
          <w:tcPr>
            <w:tcW w:type="dxa" w:w="340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r>
              <w:rPr>
                <w:b/>
                <w:bCs/>
                <w:color w:val="0F1C2E"/>
              </w:rPr>
              <w:t xml:space="preserve">Inversión total estimada</w:t>
            </w:r>
          </w:p>
        </w:tc>
        <w:tc>
          <w:tcPr>
            <w:tcW w:type="dxa" w:w="406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r>
              <w:rPr>
                <w:color w:val="0F1C2E"/>
              </w:rPr>
              <w:t xml:space="preserve">Según la duración que se acuerde</w:t>
            </w:r>
          </w:p>
        </w:tc>
        <w:tc>
          <w:tcPr>
            <w:tcW w:type="dxa" w:w="1900"/>
            <w:tcBorders>
              <w:top w:val="single" w:color="D5DEE9" w:sz="4"/>
              <w:left w:val="single" w:color="D5DEE9" w:sz="4"/>
              <w:bottom w:val="single" w:color="D5DEE9" w:sz="4"/>
              <w:right w:val="single" w:color="D5DEE9" w:sz="4"/>
            </w:tcBorders>
            <w:shd w:fill="EDF2F9" w:val="clear"/>
            <w:tcMar>
              <w:top w:type="dxa" w:w="100"/>
              <w:left w:type="dxa" w:w="140"/>
              <w:bottom w:type="dxa" w:w="100"/>
              <w:right w:type="dxa" w:w="140"/>
            </w:tcMar>
          </w:tcPr>
          <w:p>
            <w:pPr>
              <w:jc w:val="right"/>
            </w:pPr>
            <w:r>
              <w:rPr>
                <w:b/>
                <w:bCs/>
                <w:color w:val="1A4FA0"/>
              </w:rPr>
              <w:t xml:space="preserve">$3.000.000 a $4.500.000</w:t>
            </w:r>
          </w:p>
        </w:tc>
      </w:tr>
    </w:tbl>
    <w:p>
      <w:pPr>
        <w:spacing w:after="40"/>
      </w:pPr>
      <w:r>
        <w:rPr>
          <w:color w:val="5A6E85"/>
          <w:sz w:val="18"/>
          <w:szCs w:val="18"/>
        </w:rPr>
        <w:t xml:space="preserve">Los valores no contemplan impuestos que pudieran corresponder según la condición fiscal del oferente. Sujeto a la condición fiscal de GG Soluciones — a confirmar.</w:t>
      </w:r>
    </w:p>
    <w:p>
      <w:pPr>
        <w:spacing w:after="120"/>
      </w:pPr>
    </w:p>
    <w:p>
      <w:pPr>
        <w:pStyle w:val="Heading1"/>
      </w:pPr>
      <w:r>
        <w:t xml:space="preserve">8. Condiciones generales</w:t>
      </w:r>
    </w:p>
    <w:p>
      <w:pPr>
        <w:pStyle w:val="ListParagraph"/>
        <w:numPr>
          <w:ilvl w:val="0"/>
          <w:numId w:val="2"/>
        </w:numPr>
        <w:spacing w:after="60" w:line="276"/>
      </w:pPr>
      <w:r>
        <w:t xml:space="preserve">Facturación mensual, por mes adelantado o vencido según se acuerde.</w:t>
      </w:r>
    </w:p>
    <w:p>
      <w:pPr>
        <w:pStyle w:val="ListParagraph"/>
        <w:numPr>
          <w:ilvl w:val="0"/>
          <w:numId w:val="2"/>
        </w:numPr>
        <w:spacing w:after="60" w:line="276"/>
      </w:pPr>
      <w:r>
        <w:t xml:space="preserve">Las sesiones se coordinan con el equipo en horarios fijos semanales.</w:t>
      </w:r>
    </w:p>
    <w:p>
      <w:pPr>
        <w:pStyle w:val="ListParagraph"/>
        <w:numPr>
          <w:ilvl w:val="0"/>
          <w:numId w:val="2"/>
        </w:numPr>
        <w:spacing w:after="60" w:line="276"/>
      </w:pPr>
      <w:r>
        <w:t xml:space="preserve">La duración puede ajustarse según el ritmo de avance, con acuerdo previo.</w:t>
      </w:r>
    </w:p>
    <w:p>
      <w:pPr>
        <w:pStyle w:val="ListParagraph"/>
        <w:numPr>
          <w:ilvl w:val="0"/>
          <w:numId w:val="2"/>
        </w:numPr>
        <w:spacing w:after="60" w:line="276"/>
      </w:pPr>
      <w:r>
        <w:t xml:space="preserve">La presente propuesta tiene una validez de 10 días hábiles.</w:t>
      </w:r>
    </w:p>
    <w:p>
      <w:pPr>
        <w:spacing w:after="120" w:before="260"/>
      </w:pPr>
      <w:r>
        <w:rPr>
          <w:color w:val="0F1C2E"/>
        </w:rPr>
        <w:t xml:space="preserve">Quedamos a disposición para ampliar cualquier punto de la presente propuesta y coordinar una reunión de presentación.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EE9" w:sz="4" w:space="6"/>
      </w:pBdr>
      <w:tabs>
        <w:tab w:val="right" w:pos="9360"/>
      </w:tabs>
    </w:pPr>
    <w:r>
      <w:rPr>
        <w:color w:val="5A6E85"/>
        <w:sz w:val="16"/>
        <w:szCs w:val="16"/>
      </w:rPr>
      <w:t xml:space="preserve">ggsoluciones.com.ar  ·  WhatsApp +54 9 388 512 0704</w:t>
    </w:r>
    <w:r>
      <w:rPr>
        <w:color w:val="5A6E85"/>
        <w:sz w:val="16"/>
        <w:szCs w:val="16"/>
      </w:rPr>
      <w:t xml:space="preserve">	Página </w:t>
    </w:r>
    <w:r>
      <w:rPr>
        <w:color w:val="5A6E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9" w:sz="4" w:space="6"/>
      </w:pBdr>
      <w:tabs>
        <w:tab w:val="right" w:pos="9360"/>
      </w:tabs>
    </w:pPr>
    <w:r>
      <w:rPr>
        <w:b/>
        <w:bCs/>
        <w:color w:val="1A4FA0"/>
        <w:sz w:val="20"/>
        <w:szCs w:val="20"/>
      </w:rPr>
      <w:t xml:space="preserve">GG Soluciones</w:t>
    </w:r>
    <w:r>
      <w:rPr>
        <w:color w:val="5A6E85"/>
        <w:sz w:val="18"/>
        <w:szCs w:val="18"/>
      </w:rPr>
      <w:t xml:space="preserve">  ·  Desarrollo &amp; Consultoría IT</w:t>
    </w:r>
    <w:r>
      <w:rPr>
        <w:color w:val="5A6E85"/>
        <w:sz w:val="18"/>
        <w:szCs w:val="18"/>
      </w:rPr>
      <w:t xml:space="preserve">	San Salvador de Jujuy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C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80ED" w:sz="6" w:space="4"/>
      </w:pBdr>
      <w:spacing w:after="160" w:before="300"/>
      <w:outlineLvl w:val="0"/>
    </w:pPr>
    <w:rPr>
      <w:rFonts w:ascii="Arial" w:cs="Arial" w:eastAsia="Arial" w:hAnsi="Arial"/>
      <w:b/>
      <w:bCs/>
      <w:color w:val="1A4FA0"/>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0F1C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 Acompañamiento en la Modernización de Sistemas</dc:title>
  <dc:creator>GG Soluciones</dc:creator>
  <cp:lastModifiedBy>Un-named</cp:lastModifiedBy>
  <cp:revision>1</cp:revision>
  <dcterms:created xsi:type="dcterms:W3CDTF">2026-05-29T04:01:04.239Z</dcterms:created>
  <dcterms:modified xsi:type="dcterms:W3CDTF">2026-05-29T04:01:04.240Z</dcterms:modified>
</cp:coreProperties>
</file>

<file path=docProps/custom.xml><?xml version="1.0" encoding="utf-8"?>
<Properties xmlns="http://schemas.openxmlformats.org/officeDocument/2006/custom-properties" xmlns:vt="http://schemas.openxmlformats.org/officeDocument/2006/docPropsVTypes"/>
</file>