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emf" ContentType="image/x-emf"/>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A61161" w:rsidRPr="00AE61B4" w:rsidRDefault="009304EF" w:rsidP="00710417">
      <w:pPr>
        <w:pStyle w:val="NoSpacing"/>
        <w:jc w:val="right"/>
        <w:rPr>
          <w:rFonts w:ascii="Gill Sans MT" w:hAnsi="Gill Sans MT"/>
          <w:b/>
          <w:sz w:val="26"/>
          <w:szCs w:val="26"/>
        </w:rPr>
      </w:pPr>
      <w:r w:rsidRPr="009304EF">
        <w:rPr>
          <w:noProof/>
        </w:rPr>
        <w:pict>
          <v:shapetype id="_x0000_t202" coordsize="21600,21600" o:spt="202" path="m0,0l0,21600,21600,21600,21600,0xe">
            <v:stroke joinstyle="miter"/>
            <v:path gradientshapeok="t" o:connecttype="rect"/>
          </v:shapetype>
          <v:shape id="_x0000_s1026" type="#_x0000_t202" style="position:absolute;left:0;text-align:left;margin-left:211.25pt;margin-top:-13.8pt;width:285.95pt;height:52.8pt;z-index:251660288;mso-width-relative:margin;mso-height-relative:margin" stroked="f">
            <v:textbox style="mso-next-textbox:#_x0000_s1026">
              <w:txbxContent>
                <w:p w:rsidR="00436AC0" w:rsidRDefault="00436AC0" w:rsidP="008264E1">
                  <w:pPr>
                    <w:spacing w:after="0"/>
                    <w:jc w:val="right"/>
                    <w:rPr>
                      <w:rFonts w:ascii="Gill Sans MT" w:hAnsi="Gill Sans MT"/>
                      <w:b/>
                      <w:noProof/>
                      <w:sz w:val="40"/>
                      <w:szCs w:val="40"/>
                    </w:rPr>
                  </w:pPr>
                  <w:r>
                    <w:rPr>
                      <w:rFonts w:ascii="Gill Sans MT" w:hAnsi="Gill Sans MT"/>
                      <w:b/>
                      <w:noProof/>
                      <w:sz w:val="40"/>
                      <w:szCs w:val="40"/>
                    </w:rPr>
                    <w:t>Quality Time Analysis Tool:</w:t>
                  </w:r>
                </w:p>
                <w:p w:rsidR="00436AC0" w:rsidRPr="002E54E7" w:rsidRDefault="00436AC0" w:rsidP="008264E1">
                  <w:pPr>
                    <w:spacing w:after="0"/>
                    <w:jc w:val="right"/>
                    <w:rPr>
                      <w:rFonts w:ascii="Gill Sans MT" w:hAnsi="Gill Sans MT"/>
                      <w:b/>
                      <w:sz w:val="40"/>
                      <w:szCs w:val="40"/>
                    </w:rPr>
                  </w:pPr>
                  <w:r>
                    <w:rPr>
                      <w:rFonts w:ascii="Gill Sans MT" w:hAnsi="Gill Sans MT"/>
                      <w:b/>
                      <w:noProof/>
                      <w:sz w:val="40"/>
                      <w:szCs w:val="40"/>
                    </w:rPr>
                    <w:t>OVERVIEW</w:t>
                  </w:r>
                </w:p>
                <w:p w:rsidR="00436AC0" w:rsidRDefault="00436AC0" w:rsidP="008264E1"/>
              </w:txbxContent>
            </v:textbox>
          </v:shape>
        </w:pict>
      </w:r>
      <w:r w:rsidR="008C765A">
        <w:rPr>
          <w:noProof/>
        </w:rPr>
        <w:drawing>
          <wp:anchor distT="0" distB="0" distL="114300" distR="114300" simplePos="0" relativeHeight="251658240" behindDoc="0" locked="0" layoutInCell="1" allowOverlap="1">
            <wp:simplePos x="0" y="0"/>
            <wp:positionH relativeFrom="column">
              <wp:posOffset>-247650</wp:posOffset>
            </wp:positionH>
            <wp:positionV relativeFrom="paragraph">
              <wp:posOffset>-244264</wp:posOffset>
            </wp:positionV>
            <wp:extent cx="2314575" cy="663993"/>
            <wp:effectExtent l="19050" t="0" r="9525" b="0"/>
            <wp:wrapNone/>
            <wp:docPr id="3" name="Picture 5" descr="NCT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CTL.jpg"/>
                    <pic:cNvPicPr>
                      <a:picLocks noChangeAspect="1" noChangeArrowheads="1"/>
                    </pic:cNvPicPr>
                  </pic:nvPicPr>
                  <pic:blipFill>
                    <a:blip r:embed="rId8"/>
                    <a:srcRect/>
                    <a:stretch>
                      <a:fillRect/>
                    </a:stretch>
                  </pic:blipFill>
                  <pic:spPr bwMode="auto">
                    <a:xfrm>
                      <a:off x="0" y="0"/>
                      <a:ext cx="2318828" cy="665213"/>
                    </a:xfrm>
                    <a:prstGeom prst="rect">
                      <a:avLst/>
                    </a:prstGeom>
                    <a:noFill/>
                  </pic:spPr>
                </pic:pic>
              </a:graphicData>
            </a:graphic>
          </wp:anchor>
        </w:drawing>
      </w:r>
    </w:p>
    <w:p w:rsidR="00A61161" w:rsidRDefault="00A61161" w:rsidP="00710417">
      <w:pPr>
        <w:pStyle w:val="NoSpacing"/>
        <w:jc w:val="right"/>
        <w:rPr>
          <w:rFonts w:ascii="Gill Sans MT" w:hAnsi="Gill Sans MT"/>
          <w:b/>
          <w:sz w:val="24"/>
        </w:rPr>
      </w:pPr>
    </w:p>
    <w:p w:rsidR="00A61161" w:rsidRPr="00710417" w:rsidRDefault="00A61161" w:rsidP="00710417">
      <w:pPr>
        <w:pStyle w:val="NoSpacing"/>
        <w:jc w:val="right"/>
        <w:rPr>
          <w:rFonts w:ascii="Gill Sans MT" w:hAnsi="Gill Sans MT"/>
          <w:b/>
          <w:sz w:val="24"/>
        </w:rPr>
      </w:pPr>
    </w:p>
    <w:p w:rsidR="00A61161" w:rsidRDefault="008C765A">
      <w:pPr>
        <w:rPr>
          <w:rFonts w:ascii="Gill Sans MT" w:hAnsi="Gill Sans MT"/>
        </w:rPr>
      </w:pPr>
      <w:r>
        <w:rPr>
          <w:noProof/>
        </w:rPr>
        <w:drawing>
          <wp:anchor distT="0" distB="0" distL="114300" distR="114300" simplePos="0" relativeHeight="251659264" behindDoc="0" locked="0" layoutInCell="1" allowOverlap="1">
            <wp:simplePos x="0" y="0"/>
            <wp:positionH relativeFrom="column">
              <wp:posOffset>-276225</wp:posOffset>
            </wp:positionH>
            <wp:positionV relativeFrom="paragraph">
              <wp:posOffset>3175</wp:posOffset>
            </wp:positionV>
            <wp:extent cx="6629400" cy="190500"/>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629400" cy="190500"/>
                    </a:xfrm>
                    <a:prstGeom prst="rect">
                      <a:avLst/>
                    </a:prstGeom>
                    <a:noFill/>
                  </pic:spPr>
                </pic:pic>
              </a:graphicData>
            </a:graphic>
          </wp:anchor>
        </w:drawing>
      </w:r>
    </w:p>
    <w:p w:rsidR="0063632F" w:rsidRDefault="0063632F" w:rsidP="006D71BC">
      <w:pPr>
        <w:pStyle w:val="NoSpacing"/>
        <w:spacing w:after="120"/>
        <w:ind w:left="360" w:hanging="360"/>
        <w:rPr>
          <w:rFonts w:ascii="Gill Sans MT" w:hAnsi="Gill Sans MT"/>
          <w:b/>
          <w:sz w:val="24"/>
          <w:szCs w:val="24"/>
        </w:rPr>
      </w:pPr>
    </w:p>
    <w:p w:rsidR="00D22C84" w:rsidRPr="00825DFB" w:rsidRDefault="00D22C84" w:rsidP="006D71BC">
      <w:pPr>
        <w:pStyle w:val="NoSpacing"/>
        <w:spacing w:after="120"/>
        <w:ind w:left="360" w:hanging="360"/>
        <w:rPr>
          <w:rFonts w:ascii="Gill Sans MT" w:hAnsi="Gill Sans MT"/>
          <w:b/>
          <w:sz w:val="24"/>
          <w:szCs w:val="24"/>
        </w:rPr>
      </w:pPr>
      <w:r w:rsidRPr="00825DFB">
        <w:rPr>
          <w:rFonts w:ascii="Gill Sans MT" w:hAnsi="Gill Sans MT"/>
          <w:b/>
          <w:sz w:val="24"/>
          <w:szCs w:val="24"/>
        </w:rPr>
        <w:t>What is the “Quality Time Analysis Tool”?</w:t>
      </w:r>
      <w:r w:rsidRPr="00825DFB">
        <w:rPr>
          <w:rFonts w:ascii="Gill Sans MT" w:hAnsi="Gill Sans MT"/>
          <w:b/>
          <w:sz w:val="24"/>
          <w:szCs w:val="24"/>
        </w:rPr>
        <w:tab/>
      </w:r>
      <w:r w:rsidRPr="00825DFB">
        <w:rPr>
          <w:rFonts w:ascii="Gill Sans MT" w:hAnsi="Gill Sans MT"/>
          <w:b/>
          <w:sz w:val="24"/>
          <w:szCs w:val="24"/>
        </w:rPr>
        <w:tab/>
      </w:r>
    </w:p>
    <w:p w:rsidR="00D22C84" w:rsidRPr="00825DFB" w:rsidRDefault="00D22C84" w:rsidP="006D71BC">
      <w:pPr>
        <w:pStyle w:val="NoSpacing"/>
        <w:spacing w:after="120"/>
        <w:rPr>
          <w:rFonts w:ascii="Gill Sans MT" w:hAnsi="Gill Sans MT"/>
          <w:sz w:val="24"/>
          <w:szCs w:val="24"/>
        </w:rPr>
      </w:pPr>
      <w:r w:rsidRPr="00825DFB">
        <w:rPr>
          <w:rFonts w:ascii="Gill Sans MT" w:hAnsi="Gill Sans MT"/>
          <w:sz w:val="24"/>
          <w:szCs w:val="24"/>
        </w:rPr>
        <w:t>This too</w:t>
      </w:r>
      <w:r w:rsidR="00436AC0">
        <w:rPr>
          <w:rFonts w:ascii="Gill Sans MT" w:hAnsi="Gill Sans MT"/>
          <w:sz w:val="24"/>
          <w:szCs w:val="24"/>
        </w:rPr>
        <w:t>l</w:t>
      </w:r>
      <w:r w:rsidRPr="00825DFB">
        <w:rPr>
          <w:rFonts w:ascii="Gill Sans MT" w:hAnsi="Gill Sans MT"/>
          <w:sz w:val="24"/>
          <w:szCs w:val="24"/>
        </w:rPr>
        <w:t xml:space="preserve"> help</w:t>
      </w:r>
      <w:r w:rsidR="00436AC0">
        <w:rPr>
          <w:rFonts w:ascii="Gill Sans MT" w:hAnsi="Gill Sans MT"/>
          <w:sz w:val="24"/>
          <w:szCs w:val="24"/>
        </w:rPr>
        <w:t>s</w:t>
      </w:r>
      <w:r w:rsidRPr="00825DFB">
        <w:rPr>
          <w:rFonts w:ascii="Gill Sans MT" w:hAnsi="Gill Sans MT"/>
          <w:sz w:val="24"/>
          <w:szCs w:val="24"/>
        </w:rPr>
        <w:t xml:space="preserve"> schools determine how time is spent across a typical week and </w:t>
      </w:r>
      <w:r w:rsidR="0095224D">
        <w:rPr>
          <w:rFonts w:ascii="Gill Sans MT" w:hAnsi="Gill Sans MT"/>
          <w:sz w:val="24"/>
          <w:szCs w:val="24"/>
        </w:rPr>
        <w:t>across a whole year. It is designed to enable schools to</w:t>
      </w:r>
      <w:r w:rsidRPr="00825DFB">
        <w:rPr>
          <w:rFonts w:ascii="Gill Sans MT" w:hAnsi="Gill Sans MT"/>
          <w:sz w:val="24"/>
          <w:szCs w:val="24"/>
        </w:rPr>
        <w:t xml:space="preserve"> identify</w:t>
      </w:r>
      <w:r w:rsidR="0095224D">
        <w:rPr>
          <w:rFonts w:ascii="Gill Sans MT" w:hAnsi="Gill Sans MT"/>
          <w:sz w:val="24"/>
          <w:szCs w:val="24"/>
        </w:rPr>
        <w:t xml:space="preserve"> as accurately as possible</w:t>
      </w:r>
      <w:r w:rsidRPr="00825DFB">
        <w:rPr>
          <w:rFonts w:ascii="Gill Sans MT" w:hAnsi="Gill Sans MT"/>
          <w:sz w:val="24"/>
          <w:szCs w:val="24"/>
        </w:rPr>
        <w:t xml:space="preserve"> the proportion of time</w:t>
      </w:r>
      <w:r w:rsidR="0095224D">
        <w:rPr>
          <w:rFonts w:ascii="Gill Sans MT" w:hAnsi="Gill Sans MT"/>
          <w:sz w:val="24"/>
          <w:szCs w:val="24"/>
        </w:rPr>
        <w:t xml:space="preserve"> spent in three broad categories: Academics, Non-Core Academics and Other. </w:t>
      </w:r>
      <w:r w:rsidR="00436AC0">
        <w:rPr>
          <w:rFonts w:ascii="Gill Sans MT" w:hAnsi="Gill Sans MT"/>
          <w:sz w:val="24"/>
          <w:szCs w:val="24"/>
        </w:rPr>
        <w:t>M</w:t>
      </w:r>
      <w:r w:rsidR="0095224D">
        <w:rPr>
          <w:rFonts w:ascii="Gill Sans MT" w:hAnsi="Gill Sans MT"/>
          <w:sz w:val="24"/>
          <w:szCs w:val="24"/>
        </w:rPr>
        <w:t xml:space="preserve">ore important than the specific data the tool generates is the </w:t>
      </w:r>
      <w:r w:rsidR="0095224D" w:rsidRPr="00436AC0">
        <w:rPr>
          <w:rFonts w:ascii="Gill Sans MT" w:hAnsi="Gill Sans MT"/>
          <w:i/>
          <w:sz w:val="24"/>
          <w:szCs w:val="24"/>
        </w:rPr>
        <w:t>process</w:t>
      </w:r>
      <w:r w:rsidR="0095224D">
        <w:rPr>
          <w:rFonts w:ascii="Gill Sans MT" w:hAnsi="Gill Sans MT"/>
          <w:sz w:val="24"/>
          <w:szCs w:val="24"/>
        </w:rPr>
        <w:t xml:space="preserve"> required to complete the instrument</w:t>
      </w:r>
      <w:r w:rsidR="0065494E">
        <w:rPr>
          <w:rFonts w:ascii="Gill Sans MT" w:hAnsi="Gill Sans MT"/>
          <w:sz w:val="24"/>
          <w:szCs w:val="24"/>
        </w:rPr>
        <w:t xml:space="preserve">. </w:t>
      </w:r>
      <w:r w:rsidR="00436AC0">
        <w:rPr>
          <w:rFonts w:ascii="Gill Sans MT" w:hAnsi="Gill Sans MT"/>
          <w:sz w:val="24"/>
          <w:szCs w:val="24"/>
        </w:rPr>
        <w:t>It</w:t>
      </w:r>
      <w:r w:rsidR="0065494E">
        <w:rPr>
          <w:rFonts w:ascii="Gill Sans MT" w:hAnsi="Gill Sans MT"/>
          <w:sz w:val="24"/>
          <w:szCs w:val="24"/>
        </w:rPr>
        <w:t xml:space="preserve"> is the </w:t>
      </w:r>
      <w:r w:rsidR="0095224D">
        <w:rPr>
          <w:rFonts w:ascii="Gill Sans MT" w:hAnsi="Gill Sans MT"/>
          <w:sz w:val="24"/>
          <w:szCs w:val="24"/>
        </w:rPr>
        <w:t>process</w:t>
      </w:r>
      <w:r w:rsidR="0065494E">
        <w:rPr>
          <w:rFonts w:ascii="Gill Sans MT" w:hAnsi="Gill Sans MT"/>
          <w:sz w:val="24"/>
          <w:szCs w:val="24"/>
        </w:rPr>
        <w:t xml:space="preserve"> of categorizing time usage and taking a hard look at how </w:t>
      </w:r>
      <w:r w:rsidRPr="00825DFB">
        <w:rPr>
          <w:rFonts w:ascii="Gill Sans MT" w:hAnsi="Gill Sans MT"/>
          <w:sz w:val="24"/>
          <w:szCs w:val="24"/>
        </w:rPr>
        <w:t>time is spent</w:t>
      </w:r>
      <w:r w:rsidR="0065494E">
        <w:rPr>
          <w:rFonts w:ascii="Gill Sans MT" w:hAnsi="Gill Sans MT"/>
          <w:sz w:val="24"/>
          <w:szCs w:val="24"/>
        </w:rPr>
        <w:t xml:space="preserve"> that should </w:t>
      </w:r>
      <w:r w:rsidR="00503BDB">
        <w:rPr>
          <w:rFonts w:ascii="Gill Sans MT" w:hAnsi="Gill Sans MT"/>
          <w:sz w:val="24"/>
          <w:szCs w:val="24"/>
        </w:rPr>
        <w:t>l</w:t>
      </w:r>
      <w:r w:rsidR="0095224D">
        <w:rPr>
          <w:rFonts w:ascii="Gill Sans MT" w:hAnsi="Gill Sans MT"/>
          <w:sz w:val="24"/>
          <w:szCs w:val="24"/>
        </w:rPr>
        <w:t>ead educators</w:t>
      </w:r>
      <w:r w:rsidRPr="00825DFB">
        <w:rPr>
          <w:rFonts w:ascii="Gill Sans MT" w:hAnsi="Gill Sans MT"/>
          <w:sz w:val="24"/>
          <w:szCs w:val="24"/>
        </w:rPr>
        <w:t xml:space="preserve"> to consider modifications</w:t>
      </w:r>
      <w:r w:rsidR="0095224D">
        <w:rPr>
          <w:rFonts w:ascii="Gill Sans MT" w:hAnsi="Gill Sans MT"/>
          <w:sz w:val="24"/>
          <w:szCs w:val="24"/>
        </w:rPr>
        <w:t xml:space="preserve"> to policies and practices that optimize time.</w:t>
      </w:r>
    </w:p>
    <w:p w:rsidR="0095224D" w:rsidRDefault="0095224D" w:rsidP="006D71BC">
      <w:pPr>
        <w:pStyle w:val="NoSpacing"/>
        <w:spacing w:after="120"/>
        <w:ind w:left="360" w:hanging="360"/>
        <w:rPr>
          <w:rFonts w:ascii="Gill Sans MT" w:hAnsi="Gill Sans MT"/>
          <w:b/>
          <w:sz w:val="24"/>
          <w:szCs w:val="24"/>
        </w:rPr>
      </w:pPr>
    </w:p>
    <w:p w:rsidR="00D22C84" w:rsidRPr="00825DFB" w:rsidRDefault="00D22C84" w:rsidP="006D71BC">
      <w:pPr>
        <w:pStyle w:val="NoSpacing"/>
        <w:spacing w:after="120"/>
        <w:ind w:left="360" w:hanging="360"/>
        <w:rPr>
          <w:rFonts w:ascii="Gill Sans MT" w:hAnsi="Gill Sans MT"/>
          <w:b/>
          <w:sz w:val="24"/>
          <w:szCs w:val="24"/>
        </w:rPr>
      </w:pPr>
      <w:r w:rsidRPr="00825DFB">
        <w:rPr>
          <w:rFonts w:ascii="Gill Sans MT" w:hAnsi="Gill Sans MT"/>
          <w:b/>
          <w:sz w:val="24"/>
          <w:szCs w:val="24"/>
        </w:rPr>
        <w:t>How does the tool work?</w:t>
      </w:r>
      <w:r w:rsidRPr="00825DFB">
        <w:rPr>
          <w:rFonts w:ascii="Gill Sans MT" w:hAnsi="Gill Sans MT"/>
          <w:b/>
          <w:sz w:val="24"/>
          <w:szCs w:val="24"/>
        </w:rPr>
        <w:tab/>
      </w:r>
      <w:r w:rsidRPr="00825DFB">
        <w:rPr>
          <w:rFonts w:ascii="Gill Sans MT" w:hAnsi="Gill Sans MT"/>
          <w:b/>
          <w:sz w:val="24"/>
          <w:szCs w:val="24"/>
        </w:rPr>
        <w:tab/>
      </w:r>
    </w:p>
    <w:p w:rsidR="00D22C84" w:rsidRPr="00825DFB" w:rsidRDefault="00D22C84" w:rsidP="006D71BC">
      <w:pPr>
        <w:pStyle w:val="NoSpacing"/>
        <w:spacing w:after="120"/>
        <w:rPr>
          <w:rFonts w:ascii="Gill Sans MT" w:hAnsi="Gill Sans MT"/>
          <w:sz w:val="24"/>
          <w:szCs w:val="24"/>
        </w:rPr>
      </w:pPr>
      <w:r w:rsidRPr="00825DFB">
        <w:rPr>
          <w:rFonts w:ascii="Gill Sans MT" w:hAnsi="Gill Sans MT"/>
          <w:sz w:val="24"/>
          <w:szCs w:val="24"/>
        </w:rPr>
        <w:t xml:space="preserve">The tool begins by requiring users to input their total time, both in aggregate (total allocated time) and by </w:t>
      </w:r>
      <w:r w:rsidR="00112196">
        <w:rPr>
          <w:rFonts w:ascii="Gill Sans MT" w:hAnsi="Gill Sans MT"/>
          <w:sz w:val="24"/>
          <w:szCs w:val="24"/>
        </w:rPr>
        <w:t xml:space="preserve">broad </w:t>
      </w:r>
      <w:r w:rsidRPr="00825DFB">
        <w:rPr>
          <w:rFonts w:ascii="Gill Sans MT" w:hAnsi="Gill Sans MT"/>
          <w:sz w:val="24"/>
          <w:szCs w:val="24"/>
        </w:rPr>
        <w:t>category</w:t>
      </w:r>
      <w:r w:rsidR="00D42C71">
        <w:rPr>
          <w:rFonts w:ascii="Gill Sans MT" w:hAnsi="Gill Sans MT"/>
          <w:sz w:val="24"/>
          <w:szCs w:val="24"/>
        </w:rPr>
        <w:t xml:space="preserve"> (weekly allocated time)</w:t>
      </w:r>
      <w:r w:rsidRPr="00825DFB">
        <w:rPr>
          <w:rFonts w:ascii="Gill Sans MT" w:hAnsi="Gill Sans MT"/>
          <w:sz w:val="24"/>
          <w:szCs w:val="24"/>
        </w:rPr>
        <w:t xml:space="preserve">. Once the allocated time is </w:t>
      </w:r>
      <w:r w:rsidR="00EE1ED8">
        <w:rPr>
          <w:rFonts w:ascii="Gill Sans MT" w:hAnsi="Gill Sans MT"/>
          <w:sz w:val="24"/>
          <w:szCs w:val="24"/>
        </w:rPr>
        <w:t>entered</w:t>
      </w:r>
      <w:r w:rsidRPr="00825DFB">
        <w:rPr>
          <w:rFonts w:ascii="Gill Sans MT" w:hAnsi="Gill Sans MT"/>
          <w:sz w:val="24"/>
          <w:szCs w:val="24"/>
        </w:rPr>
        <w:t xml:space="preserve">, the tool requires users to determine how time in both a typical week and throughout the year might actually </w:t>
      </w:r>
      <w:r w:rsidR="0095224D">
        <w:rPr>
          <w:rFonts w:ascii="Gill Sans MT" w:hAnsi="Gill Sans MT"/>
          <w:sz w:val="24"/>
          <w:szCs w:val="24"/>
        </w:rPr>
        <w:t xml:space="preserve">be </w:t>
      </w:r>
      <w:r w:rsidRPr="00825DFB">
        <w:rPr>
          <w:rFonts w:ascii="Gill Sans MT" w:hAnsi="Gill Sans MT"/>
          <w:sz w:val="24"/>
          <w:szCs w:val="24"/>
        </w:rPr>
        <w:t xml:space="preserve">used for a different purpose than </w:t>
      </w:r>
      <w:r w:rsidR="0095224D">
        <w:rPr>
          <w:rFonts w:ascii="Gill Sans MT" w:hAnsi="Gill Sans MT"/>
          <w:sz w:val="24"/>
          <w:szCs w:val="24"/>
        </w:rPr>
        <w:t>how it</w:t>
      </w:r>
      <w:r w:rsidRPr="00825DFB">
        <w:rPr>
          <w:rFonts w:ascii="Gill Sans MT" w:hAnsi="Gill Sans MT"/>
          <w:sz w:val="24"/>
          <w:szCs w:val="24"/>
        </w:rPr>
        <w:t xml:space="preserve"> was originally allocated.  After determining these uses of time, the tool will automatically calculate </w:t>
      </w:r>
      <w:r w:rsidR="00EE1ED8" w:rsidRPr="00436AC0">
        <w:rPr>
          <w:rFonts w:ascii="Gill Sans MT" w:hAnsi="Gill Sans MT"/>
          <w:i/>
          <w:sz w:val="24"/>
          <w:szCs w:val="24"/>
        </w:rPr>
        <w:t>actual</w:t>
      </w:r>
      <w:r w:rsidR="00EE1ED8">
        <w:rPr>
          <w:rFonts w:ascii="Gill Sans MT" w:hAnsi="Gill Sans MT"/>
          <w:sz w:val="24"/>
          <w:szCs w:val="24"/>
        </w:rPr>
        <w:t xml:space="preserve"> time allocations</w:t>
      </w:r>
      <w:r w:rsidRPr="00825DFB">
        <w:rPr>
          <w:rFonts w:ascii="Gill Sans MT" w:hAnsi="Gill Sans MT"/>
          <w:sz w:val="24"/>
          <w:szCs w:val="24"/>
        </w:rPr>
        <w:t xml:space="preserve"> in a typical week and across the year.</w:t>
      </w:r>
      <w:r w:rsidRPr="00825DFB">
        <w:rPr>
          <w:rFonts w:ascii="Gill Sans MT" w:hAnsi="Gill Sans MT"/>
          <w:sz w:val="24"/>
          <w:szCs w:val="24"/>
        </w:rPr>
        <w:tab/>
      </w:r>
    </w:p>
    <w:p w:rsidR="00D22C84" w:rsidRPr="00825DFB" w:rsidRDefault="00D22C84" w:rsidP="006D71BC">
      <w:pPr>
        <w:pStyle w:val="NoSpacing"/>
        <w:spacing w:after="120"/>
        <w:rPr>
          <w:rFonts w:ascii="Gill Sans MT" w:hAnsi="Gill Sans MT"/>
          <w:sz w:val="24"/>
          <w:szCs w:val="24"/>
        </w:rPr>
      </w:pPr>
      <w:r w:rsidRPr="00825DFB">
        <w:rPr>
          <w:rFonts w:ascii="Gill Sans MT" w:hAnsi="Gill Sans MT"/>
          <w:sz w:val="24"/>
          <w:szCs w:val="24"/>
        </w:rPr>
        <w:tab/>
      </w:r>
    </w:p>
    <w:p w:rsidR="003E5619" w:rsidRDefault="003E5619" w:rsidP="006D71BC">
      <w:pPr>
        <w:pStyle w:val="NoSpacing"/>
        <w:spacing w:after="120"/>
        <w:rPr>
          <w:rFonts w:ascii="Gill Sans MT" w:hAnsi="Gill Sans MT"/>
          <w:b/>
          <w:sz w:val="24"/>
          <w:szCs w:val="24"/>
        </w:rPr>
      </w:pPr>
      <w:r>
        <w:rPr>
          <w:rFonts w:ascii="Gill Sans MT" w:hAnsi="Gill Sans MT"/>
          <w:b/>
          <w:sz w:val="24"/>
          <w:szCs w:val="24"/>
        </w:rPr>
        <w:t>What data do I need to input?</w:t>
      </w:r>
    </w:p>
    <w:p w:rsidR="003E5619" w:rsidRDefault="003E5619" w:rsidP="006D71BC">
      <w:pPr>
        <w:pStyle w:val="NoSpacing"/>
        <w:spacing w:after="120"/>
        <w:rPr>
          <w:rFonts w:ascii="Gill Sans MT" w:hAnsi="Gill Sans MT"/>
          <w:sz w:val="24"/>
          <w:szCs w:val="24"/>
        </w:rPr>
      </w:pPr>
      <w:r>
        <w:rPr>
          <w:rFonts w:ascii="Gill Sans MT" w:hAnsi="Gill Sans MT"/>
          <w:sz w:val="24"/>
          <w:szCs w:val="24"/>
        </w:rPr>
        <w:t xml:space="preserve">Users should input data in the cells which are underlined.  All other cells are “locked” and will calculate automatically. </w:t>
      </w:r>
      <w:r w:rsidR="00B13D3B">
        <w:rPr>
          <w:rFonts w:ascii="Gill Sans MT" w:hAnsi="Gill Sans MT"/>
          <w:sz w:val="24"/>
          <w:szCs w:val="24"/>
        </w:rPr>
        <w:t>A number of cells in the tool have notes, indicated by a red triangle in the upper right-hand corner of the cell, with descriptions of the use for that cell.</w:t>
      </w:r>
    </w:p>
    <w:p w:rsidR="003E5619" w:rsidRPr="003E5619" w:rsidRDefault="003E5619" w:rsidP="006D71BC">
      <w:pPr>
        <w:pStyle w:val="NoSpacing"/>
        <w:spacing w:after="120"/>
        <w:rPr>
          <w:rFonts w:ascii="Gill Sans MT" w:hAnsi="Gill Sans MT"/>
          <w:sz w:val="24"/>
          <w:szCs w:val="24"/>
        </w:rPr>
      </w:pPr>
    </w:p>
    <w:p w:rsidR="00D22C84" w:rsidRPr="00825DFB" w:rsidRDefault="003E5619" w:rsidP="006D71BC">
      <w:pPr>
        <w:pStyle w:val="NoSpacing"/>
        <w:spacing w:after="120"/>
        <w:rPr>
          <w:rFonts w:ascii="Gill Sans MT" w:hAnsi="Gill Sans MT"/>
          <w:b/>
          <w:sz w:val="24"/>
          <w:szCs w:val="24"/>
        </w:rPr>
      </w:pPr>
      <w:r>
        <w:rPr>
          <w:rFonts w:ascii="Gill Sans MT" w:hAnsi="Gill Sans MT"/>
          <w:b/>
          <w:sz w:val="24"/>
          <w:szCs w:val="24"/>
        </w:rPr>
        <w:t>How</w:t>
      </w:r>
      <w:r w:rsidR="0095224D">
        <w:rPr>
          <w:rFonts w:ascii="Gill Sans MT" w:hAnsi="Gill Sans MT"/>
          <w:b/>
          <w:sz w:val="24"/>
          <w:szCs w:val="24"/>
        </w:rPr>
        <w:t xml:space="preserve"> do </w:t>
      </w:r>
      <w:r w:rsidR="00EE1ED8">
        <w:rPr>
          <w:rFonts w:ascii="Gill Sans MT" w:hAnsi="Gill Sans MT"/>
          <w:b/>
          <w:sz w:val="24"/>
          <w:szCs w:val="24"/>
        </w:rPr>
        <w:t>we</w:t>
      </w:r>
      <w:r w:rsidR="0095224D">
        <w:rPr>
          <w:rFonts w:ascii="Gill Sans MT" w:hAnsi="Gill Sans MT"/>
          <w:b/>
          <w:sz w:val="24"/>
          <w:szCs w:val="24"/>
        </w:rPr>
        <w:t xml:space="preserve"> </w:t>
      </w:r>
      <w:r w:rsidR="00EE1ED8">
        <w:rPr>
          <w:rFonts w:ascii="Gill Sans MT" w:hAnsi="Gill Sans MT"/>
          <w:b/>
          <w:sz w:val="24"/>
          <w:szCs w:val="24"/>
        </w:rPr>
        <w:t>input</w:t>
      </w:r>
      <w:r w:rsidR="00536A7F">
        <w:rPr>
          <w:rFonts w:ascii="Gill Sans MT" w:hAnsi="Gill Sans MT"/>
          <w:b/>
          <w:sz w:val="24"/>
          <w:szCs w:val="24"/>
        </w:rPr>
        <w:t xml:space="preserve"> data for</w:t>
      </w:r>
      <w:r w:rsidR="0095224D">
        <w:rPr>
          <w:rFonts w:ascii="Gill Sans MT" w:hAnsi="Gill Sans MT"/>
          <w:b/>
          <w:sz w:val="24"/>
          <w:szCs w:val="24"/>
        </w:rPr>
        <w:t xml:space="preserve"> </w:t>
      </w:r>
      <w:r w:rsidR="00436AC0">
        <w:rPr>
          <w:rFonts w:ascii="Gill Sans MT" w:hAnsi="Gill Sans MT"/>
          <w:b/>
          <w:sz w:val="24"/>
          <w:szCs w:val="24"/>
        </w:rPr>
        <w:t xml:space="preserve">Section 1: </w:t>
      </w:r>
      <w:r w:rsidR="0095224D">
        <w:rPr>
          <w:rFonts w:ascii="Gill Sans MT" w:hAnsi="Gill Sans MT"/>
          <w:b/>
          <w:sz w:val="24"/>
          <w:szCs w:val="24"/>
        </w:rPr>
        <w:t>“</w:t>
      </w:r>
      <w:r w:rsidR="00112196">
        <w:rPr>
          <w:rFonts w:ascii="Gill Sans MT" w:hAnsi="Gill Sans MT"/>
          <w:b/>
          <w:sz w:val="24"/>
          <w:szCs w:val="24"/>
        </w:rPr>
        <w:t xml:space="preserve">Calculating </w:t>
      </w:r>
      <w:r w:rsidR="0095224D">
        <w:rPr>
          <w:rFonts w:ascii="Gill Sans MT" w:hAnsi="Gill Sans MT"/>
          <w:b/>
          <w:sz w:val="24"/>
          <w:szCs w:val="24"/>
        </w:rPr>
        <w:t>Total Allocated School Time</w:t>
      </w:r>
      <w:r w:rsidR="00436AC0">
        <w:rPr>
          <w:rFonts w:ascii="Gill Sans MT" w:hAnsi="Gill Sans MT"/>
          <w:b/>
          <w:sz w:val="24"/>
          <w:szCs w:val="24"/>
        </w:rPr>
        <w:t>”?</w:t>
      </w:r>
      <w:r w:rsidR="00D22C84" w:rsidRPr="00825DFB">
        <w:rPr>
          <w:rFonts w:ascii="Gill Sans MT" w:hAnsi="Gill Sans MT"/>
          <w:b/>
          <w:sz w:val="24"/>
          <w:szCs w:val="24"/>
        </w:rPr>
        <w:tab/>
      </w:r>
      <w:r w:rsidR="00D22C84" w:rsidRPr="00825DFB">
        <w:rPr>
          <w:rFonts w:ascii="Gill Sans MT" w:hAnsi="Gill Sans MT"/>
          <w:b/>
          <w:sz w:val="24"/>
          <w:szCs w:val="24"/>
        </w:rPr>
        <w:tab/>
      </w:r>
    </w:p>
    <w:p w:rsidR="003E5619" w:rsidRDefault="0095224D" w:rsidP="0095224D">
      <w:pPr>
        <w:pStyle w:val="NoSpacing"/>
        <w:spacing w:after="120"/>
        <w:rPr>
          <w:rFonts w:ascii="Gill Sans MT" w:hAnsi="Gill Sans MT"/>
          <w:sz w:val="24"/>
          <w:szCs w:val="24"/>
        </w:rPr>
      </w:pPr>
      <w:r>
        <w:rPr>
          <w:rFonts w:ascii="Gill Sans MT" w:hAnsi="Gill Sans MT"/>
          <w:sz w:val="24"/>
          <w:szCs w:val="24"/>
        </w:rPr>
        <w:t xml:space="preserve">This category is the most straightforward portion of the tool. </w:t>
      </w:r>
      <w:r w:rsidR="003E5619">
        <w:rPr>
          <w:rFonts w:ascii="Gill Sans MT" w:hAnsi="Gill Sans MT"/>
          <w:sz w:val="24"/>
          <w:szCs w:val="24"/>
        </w:rPr>
        <w:t>Users simply input data in the relevant cells in the</w:t>
      </w:r>
      <w:r w:rsidR="00D22C84" w:rsidRPr="00825DFB">
        <w:rPr>
          <w:rFonts w:ascii="Gill Sans MT" w:hAnsi="Gill Sans MT"/>
          <w:sz w:val="24"/>
          <w:szCs w:val="24"/>
        </w:rPr>
        <w:t xml:space="preserve"> gray box</w:t>
      </w:r>
      <w:r w:rsidR="003E5619">
        <w:rPr>
          <w:rFonts w:ascii="Gill Sans MT" w:hAnsi="Gill Sans MT"/>
          <w:sz w:val="24"/>
          <w:szCs w:val="24"/>
        </w:rPr>
        <w:t>. First, enter</w:t>
      </w:r>
      <w:r w:rsidR="00D22C84" w:rsidRPr="00825DFB">
        <w:rPr>
          <w:rFonts w:ascii="Gill Sans MT" w:hAnsi="Gill Sans MT"/>
          <w:sz w:val="24"/>
          <w:szCs w:val="24"/>
        </w:rPr>
        <w:t xml:space="preserve"> the start and stop time for the standard day</w:t>
      </w:r>
      <w:r w:rsidR="006D71BC" w:rsidRPr="00825DFB">
        <w:rPr>
          <w:rFonts w:ascii="Gill Sans MT" w:hAnsi="Gill Sans MT"/>
          <w:sz w:val="24"/>
          <w:szCs w:val="24"/>
        </w:rPr>
        <w:t xml:space="preserve"> (cells D5, D6)</w:t>
      </w:r>
      <w:r w:rsidR="00EE1ED8">
        <w:rPr>
          <w:rFonts w:ascii="Gill Sans MT" w:hAnsi="Gill Sans MT"/>
          <w:sz w:val="24"/>
          <w:szCs w:val="24"/>
        </w:rPr>
        <w:t xml:space="preserve">. For these cells, be sure to use 24-hour clock time (e.g., 2:30 pm=14:30). </w:t>
      </w:r>
      <w:r w:rsidR="00D22C84" w:rsidRPr="00825DFB">
        <w:rPr>
          <w:rFonts w:ascii="Gill Sans MT" w:hAnsi="Gill Sans MT"/>
          <w:sz w:val="24"/>
          <w:szCs w:val="24"/>
        </w:rPr>
        <w:t xml:space="preserve">Unless schools have at least one early release day per week, </w:t>
      </w:r>
      <w:r w:rsidR="006D71BC" w:rsidRPr="00825DFB">
        <w:rPr>
          <w:rFonts w:ascii="Gill Sans MT" w:hAnsi="Gill Sans MT"/>
          <w:sz w:val="24"/>
          <w:szCs w:val="24"/>
        </w:rPr>
        <w:t>the</w:t>
      </w:r>
      <w:r w:rsidR="003E5619">
        <w:rPr>
          <w:rFonts w:ascii="Gill Sans MT" w:hAnsi="Gill Sans MT"/>
          <w:sz w:val="24"/>
          <w:szCs w:val="24"/>
        </w:rPr>
        <w:t xml:space="preserve"> cells </w:t>
      </w:r>
      <w:r w:rsidR="006D71BC" w:rsidRPr="00825DFB">
        <w:rPr>
          <w:rFonts w:ascii="Gill Sans MT" w:hAnsi="Gill Sans MT"/>
          <w:sz w:val="24"/>
          <w:szCs w:val="24"/>
        </w:rPr>
        <w:t>asking for Early Release Day times should be skipped</w:t>
      </w:r>
      <w:r w:rsidR="00EE1ED8">
        <w:rPr>
          <w:rFonts w:ascii="Gill Sans MT" w:hAnsi="Gill Sans MT"/>
          <w:sz w:val="24"/>
          <w:szCs w:val="24"/>
        </w:rPr>
        <w:t>,</w:t>
      </w:r>
      <w:r w:rsidR="003E5619">
        <w:rPr>
          <w:rFonts w:ascii="Gill Sans MT" w:hAnsi="Gill Sans MT"/>
          <w:sz w:val="24"/>
          <w:szCs w:val="24"/>
        </w:rPr>
        <w:t xml:space="preserve"> enter</w:t>
      </w:r>
      <w:r w:rsidR="00EE1ED8">
        <w:rPr>
          <w:rFonts w:ascii="Gill Sans MT" w:hAnsi="Gill Sans MT"/>
          <w:sz w:val="24"/>
          <w:szCs w:val="24"/>
        </w:rPr>
        <w:t>ing</w:t>
      </w:r>
      <w:r w:rsidR="003E5619">
        <w:rPr>
          <w:rFonts w:ascii="Gill Sans MT" w:hAnsi="Gill Sans MT"/>
          <w:sz w:val="24"/>
          <w:szCs w:val="24"/>
        </w:rPr>
        <w:t xml:space="preserve"> a “5” in the number of standard days cell (cell D8)</w:t>
      </w:r>
      <w:r w:rsidR="00D22C84" w:rsidRPr="00825DFB">
        <w:rPr>
          <w:rFonts w:ascii="Gill Sans MT" w:hAnsi="Gill Sans MT"/>
          <w:sz w:val="24"/>
          <w:szCs w:val="24"/>
        </w:rPr>
        <w:t xml:space="preserve">.  </w:t>
      </w:r>
    </w:p>
    <w:p w:rsidR="003E5619" w:rsidRDefault="00D22C84" w:rsidP="0095224D">
      <w:pPr>
        <w:pStyle w:val="NoSpacing"/>
        <w:spacing w:after="120"/>
        <w:rPr>
          <w:rFonts w:ascii="Gill Sans MT" w:hAnsi="Gill Sans MT"/>
          <w:sz w:val="24"/>
          <w:szCs w:val="24"/>
        </w:rPr>
      </w:pPr>
      <w:r w:rsidRPr="00825DFB">
        <w:rPr>
          <w:rFonts w:ascii="Gill Sans MT" w:hAnsi="Gill Sans MT"/>
          <w:sz w:val="24"/>
          <w:szCs w:val="24"/>
        </w:rPr>
        <w:t>If a school does feature a</w:t>
      </w:r>
      <w:r w:rsidR="00EE1ED8">
        <w:rPr>
          <w:rFonts w:ascii="Gill Sans MT" w:hAnsi="Gill Sans MT"/>
          <w:sz w:val="24"/>
          <w:szCs w:val="24"/>
        </w:rPr>
        <w:t>n early</w:t>
      </w:r>
      <w:r w:rsidRPr="00825DFB">
        <w:rPr>
          <w:rFonts w:ascii="Gill Sans MT" w:hAnsi="Gill Sans MT"/>
          <w:sz w:val="24"/>
          <w:szCs w:val="24"/>
        </w:rPr>
        <w:t xml:space="preserve"> release day of at least once per week, input the start and stop time for the early release day</w:t>
      </w:r>
      <w:r w:rsidR="006D71BC" w:rsidRPr="00825DFB">
        <w:rPr>
          <w:rFonts w:ascii="Gill Sans MT" w:hAnsi="Gill Sans MT"/>
          <w:sz w:val="24"/>
          <w:szCs w:val="24"/>
        </w:rPr>
        <w:t xml:space="preserve"> (cells D10, D11) </w:t>
      </w:r>
      <w:r w:rsidRPr="00825DFB">
        <w:rPr>
          <w:rFonts w:ascii="Gill Sans MT" w:hAnsi="Gill Sans MT"/>
          <w:sz w:val="24"/>
          <w:szCs w:val="24"/>
        </w:rPr>
        <w:t>and the number of release days per week</w:t>
      </w:r>
      <w:r w:rsidR="006D71BC" w:rsidRPr="00825DFB">
        <w:rPr>
          <w:rFonts w:ascii="Gill Sans MT" w:hAnsi="Gill Sans MT"/>
          <w:sz w:val="24"/>
          <w:szCs w:val="24"/>
        </w:rPr>
        <w:t xml:space="preserve"> (D13)</w:t>
      </w:r>
      <w:r w:rsidRPr="00825DFB">
        <w:rPr>
          <w:rFonts w:ascii="Gill Sans MT" w:hAnsi="Gill Sans MT"/>
          <w:sz w:val="24"/>
          <w:szCs w:val="24"/>
        </w:rPr>
        <w:t xml:space="preserve">.  (The total of standard days and release days </w:t>
      </w:r>
      <w:r w:rsidR="003E5619">
        <w:rPr>
          <w:rFonts w:ascii="Gill Sans MT" w:hAnsi="Gill Sans MT"/>
          <w:sz w:val="24"/>
          <w:szCs w:val="24"/>
        </w:rPr>
        <w:t>should</w:t>
      </w:r>
      <w:r w:rsidRPr="00825DFB">
        <w:rPr>
          <w:rFonts w:ascii="Gill Sans MT" w:hAnsi="Gill Sans MT"/>
          <w:sz w:val="24"/>
          <w:szCs w:val="24"/>
        </w:rPr>
        <w:t xml:space="preserve"> add to "5".) </w:t>
      </w:r>
    </w:p>
    <w:p w:rsidR="006D71BC" w:rsidRDefault="003E5619" w:rsidP="0095224D">
      <w:pPr>
        <w:pStyle w:val="NoSpacing"/>
        <w:spacing w:after="120"/>
        <w:rPr>
          <w:rFonts w:ascii="Gill Sans MT" w:hAnsi="Gill Sans MT"/>
          <w:sz w:val="24"/>
          <w:szCs w:val="24"/>
        </w:rPr>
      </w:pPr>
      <w:r>
        <w:rPr>
          <w:rFonts w:ascii="Gill Sans MT" w:hAnsi="Gill Sans MT"/>
          <w:sz w:val="24"/>
          <w:szCs w:val="24"/>
        </w:rPr>
        <w:t xml:space="preserve">Finally, </w:t>
      </w:r>
      <w:r w:rsidR="00D22C84" w:rsidRPr="00825DFB">
        <w:rPr>
          <w:rFonts w:ascii="Gill Sans MT" w:hAnsi="Gill Sans MT"/>
          <w:sz w:val="24"/>
          <w:szCs w:val="24"/>
        </w:rPr>
        <w:t>enter the number of school days in the year</w:t>
      </w:r>
      <w:r w:rsidR="006D71BC" w:rsidRPr="00825DFB">
        <w:rPr>
          <w:rFonts w:ascii="Gill Sans MT" w:hAnsi="Gill Sans MT"/>
          <w:sz w:val="24"/>
          <w:szCs w:val="24"/>
        </w:rPr>
        <w:t xml:space="preserve"> (D16)</w:t>
      </w:r>
      <w:r w:rsidR="00D22C84" w:rsidRPr="00825DFB">
        <w:rPr>
          <w:rFonts w:ascii="Gill Sans MT" w:hAnsi="Gill Sans MT"/>
          <w:sz w:val="24"/>
          <w:szCs w:val="24"/>
        </w:rPr>
        <w:t>.</w:t>
      </w:r>
      <w:r w:rsidR="006D71BC" w:rsidRPr="00825DFB">
        <w:rPr>
          <w:rFonts w:ascii="Gill Sans MT" w:hAnsi="Gill Sans MT"/>
          <w:sz w:val="24"/>
          <w:szCs w:val="24"/>
        </w:rPr>
        <w:t xml:space="preserve">  The tool will then automatically calculate the number of allocated minutes per week</w:t>
      </w:r>
      <w:r w:rsidR="006829C4" w:rsidRPr="00825DFB">
        <w:rPr>
          <w:rFonts w:ascii="Gill Sans MT" w:hAnsi="Gill Sans MT"/>
          <w:sz w:val="24"/>
          <w:szCs w:val="24"/>
        </w:rPr>
        <w:t xml:space="preserve"> (G15)</w:t>
      </w:r>
      <w:r w:rsidR="006D71BC" w:rsidRPr="00825DFB">
        <w:rPr>
          <w:rFonts w:ascii="Gill Sans MT" w:hAnsi="Gill Sans MT"/>
          <w:sz w:val="24"/>
          <w:szCs w:val="24"/>
        </w:rPr>
        <w:t xml:space="preserve"> and hours per year</w:t>
      </w:r>
      <w:r w:rsidR="006829C4" w:rsidRPr="00825DFB">
        <w:rPr>
          <w:rFonts w:ascii="Gill Sans MT" w:hAnsi="Gill Sans MT"/>
          <w:sz w:val="24"/>
          <w:szCs w:val="24"/>
        </w:rPr>
        <w:t xml:space="preserve"> (G17)</w:t>
      </w:r>
      <w:r w:rsidR="006D71BC" w:rsidRPr="00825DFB">
        <w:rPr>
          <w:rFonts w:ascii="Gill Sans MT" w:hAnsi="Gill Sans MT"/>
          <w:sz w:val="24"/>
          <w:szCs w:val="24"/>
        </w:rPr>
        <w:t>.</w:t>
      </w:r>
      <w:r w:rsidR="00D22C84" w:rsidRPr="00825DFB">
        <w:rPr>
          <w:rFonts w:ascii="Gill Sans MT" w:hAnsi="Gill Sans MT"/>
          <w:sz w:val="24"/>
          <w:szCs w:val="24"/>
        </w:rPr>
        <w:tab/>
      </w:r>
    </w:p>
    <w:p w:rsidR="003E5619" w:rsidRPr="009A1AF2" w:rsidRDefault="009A1AF2" w:rsidP="009A1AF2">
      <w:pPr>
        <w:pStyle w:val="NoSpacing"/>
        <w:spacing w:after="120"/>
        <w:jc w:val="center"/>
        <w:rPr>
          <w:rFonts w:asciiTheme="minorHAnsi" w:hAnsiTheme="minorHAnsi" w:cstheme="minorHAnsi"/>
          <w:sz w:val="20"/>
          <w:szCs w:val="20"/>
        </w:rPr>
      </w:pPr>
      <w:r>
        <w:rPr>
          <w:rFonts w:ascii="Gill Sans MT" w:hAnsi="Gill Sans MT"/>
          <w:sz w:val="24"/>
          <w:szCs w:val="24"/>
        </w:rPr>
        <w:t xml:space="preserve">                                                                                                                                                              </w:t>
      </w:r>
      <w:r w:rsidRPr="009A1AF2">
        <w:rPr>
          <w:rFonts w:asciiTheme="minorHAnsi" w:hAnsiTheme="minorHAnsi" w:cstheme="minorHAnsi"/>
          <w:sz w:val="20"/>
          <w:szCs w:val="20"/>
        </w:rPr>
        <w:t>-1-</w:t>
      </w:r>
    </w:p>
    <w:p w:rsidR="00436AC0" w:rsidRDefault="00436AC0" w:rsidP="0095224D">
      <w:pPr>
        <w:pStyle w:val="NoSpacing"/>
        <w:spacing w:after="120"/>
        <w:rPr>
          <w:rFonts w:ascii="Gill Sans MT" w:hAnsi="Gill Sans MT"/>
          <w:sz w:val="24"/>
          <w:szCs w:val="24"/>
        </w:rPr>
      </w:pPr>
    </w:p>
    <w:p w:rsidR="003E5619" w:rsidRPr="003E5619" w:rsidRDefault="00EE1ED8" w:rsidP="0095224D">
      <w:pPr>
        <w:pStyle w:val="NoSpacing"/>
        <w:spacing w:after="120"/>
        <w:rPr>
          <w:rFonts w:ascii="Gill Sans MT" w:hAnsi="Gill Sans MT"/>
          <w:b/>
          <w:sz w:val="24"/>
          <w:szCs w:val="24"/>
        </w:rPr>
      </w:pPr>
      <w:r>
        <w:rPr>
          <w:rFonts w:ascii="Gill Sans MT" w:hAnsi="Gill Sans MT"/>
          <w:b/>
          <w:sz w:val="24"/>
          <w:szCs w:val="24"/>
        </w:rPr>
        <w:t>How do we input</w:t>
      </w:r>
      <w:r w:rsidR="00536A7F">
        <w:rPr>
          <w:rFonts w:ascii="Gill Sans MT" w:hAnsi="Gill Sans MT"/>
          <w:b/>
          <w:sz w:val="24"/>
          <w:szCs w:val="24"/>
        </w:rPr>
        <w:t xml:space="preserve"> data for</w:t>
      </w:r>
      <w:r w:rsidR="003E5619" w:rsidRPr="003E5619">
        <w:rPr>
          <w:rFonts w:ascii="Gill Sans MT" w:hAnsi="Gill Sans MT"/>
          <w:b/>
          <w:sz w:val="24"/>
          <w:szCs w:val="24"/>
        </w:rPr>
        <w:t xml:space="preserve"> </w:t>
      </w:r>
      <w:r w:rsidR="00436AC0">
        <w:rPr>
          <w:rFonts w:ascii="Gill Sans MT" w:hAnsi="Gill Sans MT"/>
          <w:b/>
          <w:sz w:val="24"/>
          <w:szCs w:val="24"/>
        </w:rPr>
        <w:t xml:space="preserve">Section 2: </w:t>
      </w:r>
      <w:r w:rsidR="003E5619" w:rsidRPr="003E5619">
        <w:rPr>
          <w:rFonts w:ascii="Gill Sans MT" w:hAnsi="Gill Sans MT"/>
          <w:b/>
          <w:sz w:val="24"/>
          <w:szCs w:val="24"/>
        </w:rPr>
        <w:t>“</w:t>
      </w:r>
      <w:r w:rsidR="00112196">
        <w:rPr>
          <w:rFonts w:ascii="Gill Sans MT" w:hAnsi="Gill Sans MT"/>
          <w:b/>
          <w:sz w:val="24"/>
          <w:szCs w:val="24"/>
        </w:rPr>
        <w:t xml:space="preserve">Calculating </w:t>
      </w:r>
      <w:r w:rsidR="003E5619" w:rsidRPr="003E5619">
        <w:rPr>
          <w:rFonts w:ascii="Gill Sans MT" w:hAnsi="Gill Sans MT"/>
          <w:b/>
          <w:sz w:val="24"/>
          <w:szCs w:val="24"/>
        </w:rPr>
        <w:t>Weekly Allocated School Time”</w:t>
      </w:r>
      <w:r w:rsidR="00436AC0">
        <w:rPr>
          <w:rFonts w:ascii="Gill Sans MT" w:hAnsi="Gill Sans MT"/>
          <w:b/>
          <w:sz w:val="24"/>
          <w:szCs w:val="24"/>
        </w:rPr>
        <w:t>?</w:t>
      </w:r>
    </w:p>
    <w:p w:rsidR="003E5619" w:rsidRDefault="003E5619" w:rsidP="003E5619">
      <w:pPr>
        <w:pStyle w:val="NoSpacing"/>
        <w:spacing w:after="120"/>
        <w:rPr>
          <w:rFonts w:ascii="Gill Sans MT" w:hAnsi="Gill Sans MT"/>
          <w:sz w:val="24"/>
          <w:szCs w:val="24"/>
        </w:rPr>
      </w:pPr>
      <w:r>
        <w:rPr>
          <w:rFonts w:ascii="Gill Sans MT" w:hAnsi="Gill Sans MT"/>
          <w:sz w:val="24"/>
          <w:szCs w:val="24"/>
        </w:rPr>
        <w:t xml:space="preserve">This section is to identify how the standard weekly schedule is distributed among the </w:t>
      </w:r>
      <w:r w:rsidR="00D22C84" w:rsidRPr="00825DFB">
        <w:rPr>
          <w:rFonts w:ascii="Gill Sans MT" w:hAnsi="Gill Sans MT"/>
          <w:sz w:val="24"/>
          <w:szCs w:val="24"/>
        </w:rPr>
        <w:t xml:space="preserve">three broad categories for allocated time: </w:t>
      </w:r>
      <w:r w:rsidR="00EE1ED8">
        <w:rPr>
          <w:rFonts w:ascii="Gill Sans MT" w:hAnsi="Gill Sans MT"/>
          <w:sz w:val="24"/>
          <w:szCs w:val="24"/>
        </w:rPr>
        <w:t>A</w:t>
      </w:r>
      <w:r w:rsidR="00D22C84" w:rsidRPr="00825DFB">
        <w:rPr>
          <w:rFonts w:ascii="Gill Sans MT" w:hAnsi="Gill Sans MT"/>
          <w:sz w:val="24"/>
          <w:szCs w:val="24"/>
        </w:rPr>
        <w:t>cademics</w:t>
      </w:r>
      <w:r w:rsidR="006D71BC" w:rsidRPr="00825DFB">
        <w:rPr>
          <w:rFonts w:ascii="Gill Sans MT" w:hAnsi="Gill Sans MT"/>
          <w:sz w:val="24"/>
          <w:szCs w:val="24"/>
        </w:rPr>
        <w:t xml:space="preserve">, including academic support (cells C23 – C28 and C30– C33); </w:t>
      </w:r>
      <w:r w:rsidR="00EE1ED8">
        <w:rPr>
          <w:rFonts w:ascii="Gill Sans MT" w:hAnsi="Gill Sans MT"/>
          <w:sz w:val="24"/>
          <w:szCs w:val="24"/>
        </w:rPr>
        <w:t>N</w:t>
      </w:r>
      <w:r w:rsidR="006D71BC" w:rsidRPr="00825DFB">
        <w:rPr>
          <w:rFonts w:ascii="Gill Sans MT" w:hAnsi="Gill Sans MT"/>
          <w:sz w:val="24"/>
          <w:szCs w:val="24"/>
        </w:rPr>
        <w:t xml:space="preserve">on-core </w:t>
      </w:r>
      <w:r w:rsidR="00EE1ED8">
        <w:rPr>
          <w:rFonts w:ascii="Gill Sans MT" w:hAnsi="Gill Sans MT"/>
          <w:sz w:val="24"/>
          <w:szCs w:val="24"/>
        </w:rPr>
        <w:t>A</w:t>
      </w:r>
      <w:r w:rsidR="006D71BC" w:rsidRPr="00825DFB">
        <w:rPr>
          <w:rFonts w:ascii="Gill Sans MT" w:hAnsi="Gill Sans MT"/>
          <w:sz w:val="24"/>
          <w:szCs w:val="24"/>
        </w:rPr>
        <w:t xml:space="preserve">cademics, </w:t>
      </w:r>
      <w:r w:rsidR="00D22C84" w:rsidRPr="00825DFB">
        <w:rPr>
          <w:rFonts w:ascii="Gill Sans MT" w:hAnsi="Gill Sans MT"/>
          <w:sz w:val="24"/>
          <w:szCs w:val="24"/>
        </w:rPr>
        <w:t>including s</w:t>
      </w:r>
      <w:r w:rsidR="006D71BC" w:rsidRPr="00825DFB">
        <w:rPr>
          <w:rFonts w:ascii="Gill Sans MT" w:hAnsi="Gill Sans MT"/>
          <w:sz w:val="24"/>
          <w:szCs w:val="24"/>
        </w:rPr>
        <w:t xml:space="preserve">ocial and emotional programming (cells G23 – G28 and G30 – G 32); and </w:t>
      </w:r>
      <w:r w:rsidR="00EE1ED8">
        <w:rPr>
          <w:rFonts w:ascii="Gill Sans MT" w:hAnsi="Gill Sans MT"/>
          <w:sz w:val="24"/>
          <w:szCs w:val="24"/>
        </w:rPr>
        <w:t>O</w:t>
      </w:r>
      <w:r w:rsidR="006D71BC" w:rsidRPr="00825DFB">
        <w:rPr>
          <w:rFonts w:ascii="Gill Sans MT" w:hAnsi="Gill Sans MT"/>
          <w:sz w:val="24"/>
          <w:szCs w:val="24"/>
        </w:rPr>
        <w:t xml:space="preserve">ther, </w:t>
      </w:r>
      <w:r w:rsidR="00D22C84" w:rsidRPr="00825DFB">
        <w:rPr>
          <w:rFonts w:ascii="Gill Sans MT" w:hAnsi="Gill Sans MT"/>
          <w:sz w:val="24"/>
          <w:szCs w:val="24"/>
        </w:rPr>
        <w:t>which essentially includes any allocated time not designated to the other two categories</w:t>
      </w:r>
      <w:r w:rsidR="006D71BC" w:rsidRPr="00825DFB">
        <w:rPr>
          <w:rFonts w:ascii="Gill Sans MT" w:hAnsi="Gill Sans MT"/>
          <w:sz w:val="24"/>
          <w:szCs w:val="24"/>
        </w:rPr>
        <w:t xml:space="preserve"> (cells K22 – K27</w:t>
      </w:r>
      <w:r w:rsidR="00D22C84" w:rsidRPr="00825DFB">
        <w:rPr>
          <w:rFonts w:ascii="Gill Sans MT" w:hAnsi="Gill Sans MT"/>
          <w:sz w:val="24"/>
          <w:szCs w:val="24"/>
        </w:rPr>
        <w:t xml:space="preserve">).  </w:t>
      </w:r>
      <w:r>
        <w:rPr>
          <w:rFonts w:ascii="Gill Sans MT" w:hAnsi="Gill Sans MT"/>
          <w:sz w:val="24"/>
          <w:szCs w:val="24"/>
        </w:rPr>
        <w:t xml:space="preserve">Users should enter the allocated </w:t>
      </w:r>
      <w:r w:rsidR="00B13D3B" w:rsidRPr="00B13D3B">
        <w:rPr>
          <w:rFonts w:ascii="Gill Sans MT" w:hAnsi="Gill Sans MT"/>
          <w:i/>
          <w:sz w:val="24"/>
          <w:szCs w:val="24"/>
        </w:rPr>
        <w:t>weekly minutes</w:t>
      </w:r>
      <w:r>
        <w:rPr>
          <w:rFonts w:ascii="Gill Sans MT" w:hAnsi="Gill Sans MT"/>
          <w:sz w:val="24"/>
          <w:szCs w:val="24"/>
        </w:rPr>
        <w:t xml:space="preserve"> for each of these classes and other activities. </w:t>
      </w:r>
      <w:r w:rsidR="00B13D3B">
        <w:rPr>
          <w:rFonts w:ascii="Gill Sans MT" w:hAnsi="Gill Sans MT"/>
          <w:sz w:val="24"/>
          <w:szCs w:val="24"/>
        </w:rPr>
        <w:t xml:space="preserve"> The tool will automatically calculate weekly minutes in: total academic time (C22), academic support minutes (C29), </w:t>
      </w:r>
      <w:r w:rsidR="00EE1ED8">
        <w:rPr>
          <w:rFonts w:ascii="Gill Sans MT" w:hAnsi="Gill Sans MT"/>
          <w:sz w:val="24"/>
          <w:szCs w:val="24"/>
        </w:rPr>
        <w:t>enrichment</w:t>
      </w:r>
      <w:r w:rsidR="00B13D3B">
        <w:rPr>
          <w:rFonts w:ascii="Gill Sans MT" w:hAnsi="Gill Sans MT"/>
          <w:sz w:val="24"/>
          <w:szCs w:val="24"/>
        </w:rPr>
        <w:t xml:space="preserve"> (G22) and social-emotional activities (G29).</w:t>
      </w:r>
    </w:p>
    <w:p w:rsidR="003E5619" w:rsidRDefault="00D22C84" w:rsidP="003E5619">
      <w:pPr>
        <w:pStyle w:val="NoSpacing"/>
        <w:spacing w:after="120"/>
        <w:rPr>
          <w:rFonts w:ascii="Gill Sans MT" w:hAnsi="Gill Sans MT"/>
          <w:sz w:val="24"/>
          <w:szCs w:val="24"/>
        </w:rPr>
      </w:pPr>
      <w:r w:rsidRPr="00825DFB">
        <w:rPr>
          <w:rFonts w:ascii="Gill Sans MT" w:hAnsi="Gill Sans MT"/>
          <w:sz w:val="24"/>
          <w:szCs w:val="24"/>
        </w:rPr>
        <w:t>There may be need for some judgment calls by sch</w:t>
      </w:r>
      <w:r w:rsidR="003E5619">
        <w:rPr>
          <w:rFonts w:ascii="Gill Sans MT" w:hAnsi="Gill Sans MT"/>
          <w:sz w:val="24"/>
          <w:szCs w:val="24"/>
        </w:rPr>
        <w:t xml:space="preserve">ools as to how time use should be categorized. For example, </w:t>
      </w:r>
      <w:r w:rsidRPr="00825DFB">
        <w:rPr>
          <w:rFonts w:ascii="Gill Sans MT" w:hAnsi="Gill Sans MT"/>
          <w:sz w:val="24"/>
          <w:szCs w:val="24"/>
        </w:rPr>
        <w:t xml:space="preserve">should "homeroom" </w:t>
      </w:r>
      <w:r w:rsidR="006D71BC" w:rsidRPr="00825DFB">
        <w:rPr>
          <w:rFonts w:ascii="Gill Sans MT" w:hAnsi="Gill Sans MT"/>
          <w:sz w:val="24"/>
          <w:szCs w:val="24"/>
        </w:rPr>
        <w:t xml:space="preserve">be </w:t>
      </w:r>
      <w:r w:rsidR="00536A7F">
        <w:rPr>
          <w:rFonts w:ascii="Gill Sans MT" w:hAnsi="Gill Sans MT"/>
          <w:sz w:val="24"/>
          <w:szCs w:val="24"/>
        </w:rPr>
        <w:t>ac</w:t>
      </w:r>
      <w:r w:rsidR="006D71BC" w:rsidRPr="00825DFB">
        <w:rPr>
          <w:rFonts w:ascii="Gill Sans MT" w:hAnsi="Gill Sans MT"/>
          <w:sz w:val="24"/>
          <w:szCs w:val="24"/>
        </w:rPr>
        <w:t>counted</w:t>
      </w:r>
      <w:r w:rsidRPr="00825DFB">
        <w:rPr>
          <w:rFonts w:ascii="Gill Sans MT" w:hAnsi="Gill Sans MT"/>
          <w:sz w:val="24"/>
          <w:szCs w:val="24"/>
        </w:rPr>
        <w:t xml:space="preserve"> </w:t>
      </w:r>
      <w:r w:rsidR="00536A7F">
        <w:rPr>
          <w:rFonts w:ascii="Gill Sans MT" w:hAnsi="Gill Sans MT"/>
          <w:sz w:val="24"/>
          <w:szCs w:val="24"/>
        </w:rPr>
        <w:t xml:space="preserve">for </w:t>
      </w:r>
      <w:r w:rsidRPr="00825DFB">
        <w:rPr>
          <w:rFonts w:ascii="Gill Sans MT" w:hAnsi="Gill Sans MT"/>
          <w:sz w:val="24"/>
          <w:szCs w:val="24"/>
        </w:rPr>
        <w:t>in the Other category or in the Non-Core Academic category? The answer will depend on what take</w:t>
      </w:r>
      <w:r w:rsidR="003E5619">
        <w:rPr>
          <w:rFonts w:ascii="Gill Sans MT" w:hAnsi="Gill Sans MT"/>
          <w:sz w:val="24"/>
          <w:szCs w:val="24"/>
        </w:rPr>
        <w:t xml:space="preserve">s place during homeroom period and school personnel </w:t>
      </w:r>
      <w:r w:rsidR="00536A7F">
        <w:rPr>
          <w:rFonts w:ascii="Gill Sans MT" w:hAnsi="Gill Sans MT"/>
          <w:sz w:val="24"/>
          <w:szCs w:val="24"/>
        </w:rPr>
        <w:t>must</w:t>
      </w:r>
      <w:r w:rsidR="003E5619">
        <w:rPr>
          <w:rFonts w:ascii="Gill Sans MT" w:hAnsi="Gill Sans MT"/>
          <w:sz w:val="24"/>
          <w:szCs w:val="24"/>
        </w:rPr>
        <w:t xml:space="preserve"> come to agreement on how to </w:t>
      </w:r>
      <w:r w:rsidR="00536A7F">
        <w:rPr>
          <w:rFonts w:ascii="Gill Sans MT" w:hAnsi="Gill Sans MT"/>
          <w:sz w:val="24"/>
          <w:szCs w:val="24"/>
        </w:rPr>
        <w:t>characterize</w:t>
      </w:r>
      <w:r w:rsidR="003E5619">
        <w:rPr>
          <w:rFonts w:ascii="Gill Sans MT" w:hAnsi="Gill Sans MT"/>
          <w:sz w:val="24"/>
          <w:szCs w:val="24"/>
        </w:rPr>
        <w:t xml:space="preserve"> the time spent.</w:t>
      </w:r>
    </w:p>
    <w:p w:rsidR="00A61161" w:rsidRPr="00825DFB" w:rsidRDefault="00D22C84" w:rsidP="003E5619">
      <w:pPr>
        <w:pStyle w:val="NoSpacing"/>
        <w:spacing w:after="120"/>
        <w:rPr>
          <w:rFonts w:ascii="Gill Sans MT" w:hAnsi="Gill Sans MT"/>
          <w:sz w:val="24"/>
          <w:szCs w:val="24"/>
        </w:rPr>
      </w:pPr>
      <w:r w:rsidRPr="00825DFB">
        <w:rPr>
          <w:rFonts w:ascii="Gill Sans MT" w:hAnsi="Gill Sans MT"/>
          <w:sz w:val="24"/>
          <w:szCs w:val="24"/>
        </w:rPr>
        <w:t xml:space="preserve">The key to this step is </w:t>
      </w:r>
      <w:r w:rsidR="003E5619">
        <w:rPr>
          <w:rFonts w:ascii="Gill Sans MT" w:hAnsi="Gill Sans MT"/>
          <w:sz w:val="24"/>
          <w:szCs w:val="24"/>
        </w:rPr>
        <w:t xml:space="preserve">to ensure </w:t>
      </w:r>
      <w:r w:rsidRPr="00825DFB">
        <w:rPr>
          <w:rFonts w:ascii="Gill Sans MT" w:hAnsi="Gill Sans MT"/>
          <w:sz w:val="24"/>
          <w:szCs w:val="24"/>
        </w:rPr>
        <w:t xml:space="preserve">that </w:t>
      </w:r>
      <w:r w:rsidR="00B13D3B">
        <w:rPr>
          <w:rFonts w:ascii="Gill Sans MT" w:hAnsi="Gill Sans MT"/>
          <w:sz w:val="24"/>
          <w:szCs w:val="24"/>
        </w:rPr>
        <w:t>all the classes and activities recorded in this section together add up exactly to</w:t>
      </w:r>
      <w:r w:rsidRPr="00825DFB">
        <w:rPr>
          <w:rFonts w:ascii="Gill Sans MT" w:hAnsi="Gill Sans MT"/>
          <w:sz w:val="24"/>
          <w:szCs w:val="24"/>
        </w:rPr>
        <w:t xml:space="preserve"> the total weekly allocated time (cell </w:t>
      </w:r>
      <w:r w:rsidR="003E5619">
        <w:rPr>
          <w:rFonts w:ascii="Gill Sans MT" w:hAnsi="Gill Sans MT"/>
          <w:sz w:val="24"/>
          <w:szCs w:val="24"/>
        </w:rPr>
        <w:t>G15</w:t>
      </w:r>
      <w:r w:rsidRPr="00825DFB">
        <w:rPr>
          <w:rFonts w:ascii="Gill Sans MT" w:hAnsi="Gill Sans MT"/>
          <w:sz w:val="24"/>
          <w:szCs w:val="24"/>
        </w:rPr>
        <w:t>).  The "</w:t>
      </w:r>
      <w:r w:rsidR="006D71BC" w:rsidRPr="00825DFB">
        <w:rPr>
          <w:rFonts w:ascii="Gill Sans MT" w:hAnsi="Gill Sans MT"/>
          <w:sz w:val="24"/>
          <w:szCs w:val="24"/>
        </w:rPr>
        <w:t>tracker</w:t>
      </w:r>
      <w:r w:rsidR="00B13D3B">
        <w:rPr>
          <w:rFonts w:ascii="Gill Sans MT" w:hAnsi="Gill Sans MT"/>
          <w:sz w:val="24"/>
          <w:szCs w:val="24"/>
        </w:rPr>
        <w:t>,</w:t>
      </w:r>
      <w:r w:rsidR="006D71BC" w:rsidRPr="00825DFB">
        <w:rPr>
          <w:rFonts w:ascii="Gill Sans MT" w:hAnsi="Gill Sans MT"/>
          <w:sz w:val="24"/>
          <w:szCs w:val="24"/>
        </w:rPr>
        <w:t xml:space="preserve">” situated above </w:t>
      </w:r>
      <w:r w:rsidR="00112196">
        <w:rPr>
          <w:rFonts w:ascii="Gill Sans MT" w:hAnsi="Gill Sans MT"/>
          <w:sz w:val="24"/>
          <w:szCs w:val="24"/>
        </w:rPr>
        <w:t>Section 2</w:t>
      </w:r>
      <w:r w:rsidR="006D71BC" w:rsidRPr="00825DFB">
        <w:rPr>
          <w:rFonts w:ascii="Gill Sans MT" w:hAnsi="Gill Sans MT"/>
          <w:sz w:val="24"/>
          <w:szCs w:val="24"/>
        </w:rPr>
        <w:t xml:space="preserve">, should read “0” </w:t>
      </w:r>
      <w:r w:rsidR="006D71BC" w:rsidRPr="00536A7F">
        <w:rPr>
          <w:rFonts w:ascii="Gill Sans MT" w:hAnsi="Gill Sans MT"/>
          <w:i/>
          <w:sz w:val="24"/>
          <w:szCs w:val="24"/>
        </w:rPr>
        <w:t>after</w:t>
      </w:r>
      <w:r w:rsidR="00112196">
        <w:rPr>
          <w:rFonts w:ascii="Gill Sans MT" w:hAnsi="Gill Sans MT"/>
          <w:sz w:val="24"/>
          <w:szCs w:val="24"/>
        </w:rPr>
        <w:t xml:space="preserve"> completing Section 2</w:t>
      </w:r>
      <w:r w:rsidR="006D71BC" w:rsidRPr="00825DFB">
        <w:rPr>
          <w:rFonts w:ascii="Gill Sans MT" w:hAnsi="Gill Sans MT"/>
          <w:sz w:val="24"/>
          <w:szCs w:val="24"/>
        </w:rPr>
        <w:t>.  If the total does not read “0”, there is a discr</w:t>
      </w:r>
      <w:r w:rsidR="00B13D3B">
        <w:rPr>
          <w:rFonts w:ascii="Gill Sans MT" w:hAnsi="Gill Sans MT"/>
          <w:sz w:val="24"/>
          <w:szCs w:val="24"/>
        </w:rPr>
        <w:t>epancy between the total minutes in the school week</w:t>
      </w:r>
      <w:r w:rsidR="006D71BC" w:rsidRPr="00825DFB">
        <w:rPr>
          <w:rFonts w:ascii="Gill Sans MT" w:hAnsi="Gill Sans MT"/>
          <w:sz w:val="24"/>
          <w:szCs w:val="24"/>
        </w:rPr>
        <w:t xml:space="preserve"> (cell </w:t>
      </w:r>
      <w:r w:rsidR="006829C4" w:rsidRPr="00825DFB">
        <w:rPr>
          <w:rFonts w:ascii="Gill Sans MT" w:hAnsi="Gill Sans MT"/>
          <w:sz w:val="24"/>
          <w:szCs w:val="24"/>
        </w:rPr>
        <w:t>G15)</w:t>
      </w:r>
      <w:r w:rsidR="006D71BC" w:rsidRPr="00825DFB">
        <w:rPr>
          <w:rFonts w:ascii="Gill Sans MT" w:hAnsi="Gill Sans MT"/>
          <w:sz w:val="24"/>
          <w:szCs w:val="24"/>
        </w:rPr>
        <w:t xml:space="preserve"> and the </w:t>
      </w:r>
      <w:r w:rsidR="00B13D3B">
        <w:rPr>
          <w:rFonts w:ascii="Gill Sans MT" w:hAnsi="Gill Sans MT"/>
          <w:sz w:val="24"/>
          <w:szCs w:val="24"/>
        </w:rPr>
        <w:t>weekly distributed across the three categories.</w:t>
      </w:r>
      <w:r w:rsidRPr="00825DFB">
        <w:rPr>
          <w:rFonts w:ascii="Gill Sans MT" w:hAnsi="Gill Sans MT"/>
          <w:sz w:val="24"/>
          <w:szCs w:val="24"/>
        </w:rPr>
        <w:tab/>
      </w:r>
      <w:r w:rsidRPr="00825DFB">
        <w:rPr>
          <w:rFonts w:ascii="Gill Sans MT" w:hAnsi="Gill Sans MT"/>
          <w:sz w:val="24"/>
          <w:szCs w:val="24"/>
        </w:rPr>
        <w:tab/>
      </w:r>
    </w:p>
    <w:p w:rsidR="00B13D3B" w:rsidRDefault="00B13D3B" w:rsidP="00B13D3B">
      <w:pPr>
        <w:pStyle w:val="NoSpacing"/>
        <w:spacing w:after="120"/>
        <w:rPr>
          <w:rFonts w:ascii="Gill Sans MT" w:hAnsi="Gill Sans MT"/>
          <w:sz w:val="24"/>
          <w:szCs w:val="24"/>
        </w:rPr>
      </w:pPr>
    </w:p>
    <w:p w:rsidR="00536A7F" w:rsidRPr="003E5619" w:rsidRDefault="00536A7F" w:rsidP="00536A7F">
      <w:pPr>
        <w:pStyle w:val="NoSpacing"/>
        <w:spacing w:after="120"/>
        <w:rPr>
          <w:rFonts w:ascii="Gill Sans MT" w:hAnsi="Gill Sans MT"/>
          <w:b/>
          <w:sz w:val="24"/>
          <w:szCs w:val="24"/>
        </w:rPr>
      </w:pPr>
      <w:r>
        <w:rPr>
          <w:rFonts w:ascii="Gill Sans MT" w:hAnsi="Gill Sans MT"/>
          <w:b/>
          <w:sz w:val="24"/>
          <w:szCs w:val="24"/>
        </w:rPr>
        <w:t>How do we input data for</w:t>
      </w:r>
      <w:r w:rsidRPr="00B13D3B">
        <w:rPr>
          <w:rFonts w:ascii="Gill Sans MT" w:hAnsi="Gill Sans MT"/>
          <w:b/>
          <w:sz w:val="24"/>
          <w:szCs w:val="24"/>
        </w:rPr>
        <w:t xml:space="preserve"> </w:t>
      </w:r>
      <w:r w:rsidR="00436AC0">
        <w:rPr>
          <w:rFonts w:ascii="Gill Sans MT" w:hAnsi="Gill Sans MT"/>
          <w:b/>
          <w:sz w:val="24"/>
          <w:szCs w:val="24"/>
        </w:rPr>
        <w:t xml:space="preserve">Section 3: </w:t>
      </w:r>
      <w:r w:rsidR="00112196">
        <w:rPr>
          <w:rFonts w:ascii="Gill Sans MT" w:hAnsi="Gill Sans MT"/>
          <w:b/>
          <w:sz w:val="24"/>
          <w:szCs w:val="24"/>
        </w:rPr>
        <w:t>“Estimating</w:t>
      </w:r>
      <w:r w:rsidR="00436AC0">
        <w:rPr>
          <w:rFonts w:ascii="Gill Sans MT" w:hAnsi="Gill Sans MT"/>
          <w:b/>
          <w:sz w:val="24"/>
          <w:szCs w:val="24"/>
        </w:rPr>
        <w:t xml:space="preserve"> Weekly</w:t>
      </w:r>
      <w:r w:rsidRPr="00B13D3B">
        <w:rPr>
          <w:rFonts w:ascii="Gill Sans MT" w:hAnsi="Gill Sans MT"/>
          <w:b/>
          <w:sz w:val="24"/>
          <w:szCs w:val="24"/>
        </w:rPr>
        <w:t xml:space="preserve"> Non-Purpose</w:t>
      </w:r>
      <w:r>
        <w:rPr>
          <w:rFonts w:ascii="Gill Sans MT" w:hAnsi="Gill Sans MT"/>
          <w:b/>
          <w:sz w:val="24"/>
          <w:szCs w:val="24"/>
        </w:rPr>
        <w:t>d Time”</w:t>
      </w:r>
      <w:r w:rsidRPr="003E5619">
        <w:rPr>
          <w:rFonts w:ascii="Gill Sans MT" w:hAnsi="Gill Sans MT"/>
          <w:b/>
          <w:sz w:val="24"/>
          <w:szCs w:val="24"/>
        </w:rPr>
        <w:t>?</w:t>
      </w:r>
    </w:p>
    <w:p w:rsidR="00B13D3B" w:rsidRDefault="006829C4" w:rsidP="00B13D3B">
      <w:pPr>
        <w:pStyle w:val="NoSpacing"/>
        <w:spacing w:after="120"/>
        <w:rPr>
          <w:rFonts w:ascii="Gill Sans MT" w:hAnsi="Gill Sans MT"/>
          <w:sz w:val="24"/>
          <w:szCs w:val="24"/>
        </w:rPr>
      </w:pPr>
      <w:r w:rsidRPr="00825DFB">
        <w:rPr>
          <w:rFonts w:ascii="Gill Sans MT" w:hAnsi="Gill Sans MT"/>
          <w:sz w:val="24"/>
          <w:szCs w:val="24"/>
        </w:rPr>
        <w:t xml:space="preserve">The “estimated weekly non-purposed time” </w:t>
      </w:r>
      <w:r w:rsidR="00213D41" w:rsidRPr="00825DFB">
        <w:rPr>
          <w:rFonts w:ascii="Gill Sans MT" w:hAnsi="Gill Sans MT"/>
          <w:sz w:val="24"/>
          <w:szCs w:val="24"/>
        </w:rPr>
        <w:t xml:space="preserve">is intended to capture those minutes during the typical week when time may be spent in </w:t>
      </w:r>
      <w:r w:rsidR="00660F0B">
        <w:rPr>
          <w:rFonts w:ascii="Gill Sans MT" w:hAnsi="Gill Sans MT"/>
          <w:sz w:val="24"/>
          <w:szCs w:val="24"/>
        </w:rPr>
        <w:t>class or another activity that diverges from</w:t>
      </w:r>
      <w:r w:rsidR="00213D41" w:rsidRPr="00825DFB">
        <w:rPr>
          <w:rFonts w:ascii="Gill Sans MT" w:hAnsi="Gill Sans MT"/>
          <w:sz w:val="24"/>
          <w:szCs w:val="24"/>
        </w:rPr>
        <w:t xml:space="preserve"> its intended purpose.  </w:t>
      </w:r>
      <w:r w:rsidR="009A60DA">
        <w:rPr>
          <w:rFonts w:ascii="Gill Sans MT" w:hAnsi="Gill Sans MT"/>
          <w:sz w:val="24"/>
          <w:szCs w:val="24"/>
        </w:rPr>
        <w:t xml:space="preserve">(Cells C42 – C44 and G42 – G44). </w:t>
      </w:r>
      <w:r w:rsidR="00213D41" w:rsidRPr="00825DFB">
        <w:rPr>
          <w:rFonts w:ascii="Gill Sans MT" w:hAnsi="Gill Sans MT"/>
          <w:sz w:val="24"/>
          <w:szCs w:val="24"/>
        </w:rPr>
        <w:t>For example, wh</w:t>
      </w:r>
      <w:r w:rsidR="00B13D3B">
        <w:rPr>
          <w:rFonts w:ascii="Gill Sans MT" w:hAnsi="Gill Sans MT"/>
          <w:sz w:val="24"/>
          <w:szCs w:val="24"/>
        </w:rPr>
        <w:t>en classes are</w:t>
      </w:r>
      <w:r w:rsidR="00213D41" w:rsidRPr="00825DFB">
        <w:rPr>
          <w:rFonts w:ascii="Gill Sans MT" w:hAnsi="Gill Sans MT"/>
          <w:sz w:val="24"/>
          <w:szCs w:val="24"/>
        </w:rPr>
        <w:t xml:space="preserve"> interrupted to discipline students or to accommodate a public address announcement, these are </w:t>
      </w:r>
      <w:r w:rsidR="00B13D3B">
        <w:rPr>
          <w:rFonts w:ascii="Gill Sans MT" w:hAnsi="Gill Sans MT"/>
          <w:sz w:val="24"/>
          <w:szCs w:val="24"/>
        </w:rPr>
        <w:t>minutes</w:t>
      </w:r>
      <w:r w:rsidR="00213D41" w:rsidRPr="00825DFB">
        <w:rPr>
          <w:rFonts w:ascii="Gill Sans MT" w:hAnsi="Gill Sans MT"/>
          <w:sz w:val="24"/>
          <w:szCs w:val="24"/>
        </w:rPr>
        <w:t xml:space="preserve"> when essentially no instruction is taking place</w:t>
      </w:r>
      <w:r w:rsidR="00B13D3B">
        <w:rPr>
          <w:rFonts w:ascii="Gill Sans MT" w:hAnsi="Gill Sans MT"/>
          <w:sz w:val="24"/>
          <w:szCs w:val="24"/>
        </w:rPr>
        <w:t xml:space="preserve"> and should, thus, be accounted for in the </w:t>
      </w:r>
      <w:r w:rsidR="009A60DA">
        <w:rPr>
          <w:rFonts w:ascii="Gill Sans MT" w:hAnsi="Gill Sans MT"/>
          <w:sz w:val="24"/>
          <w:szCs w:val="24"/>
        </w:rPr>
        <w:t>Other</w:t>
      </w:r>
      <w:r w:rsidR="00B13D3B">
        <w:rPr>
          <w:rFonts w:ascii="Gill Sans MT" w:hAnsi="Gill Sans MT"/>
          <w:sz w:val="24"/>
          <w:szCs w:val="24"/>
        </w:rPr>
        <w:t xml:space="preserve"> category, rather than Academic or Non-Core Academic categories.</w:t>
      </w:r>
    </w:p>
    <w:p w:rsidR="00662016" w:rsidRDefault="00213D41" w:rsidP="00B13D3B">
      <w:pPr>
        <w:pStyle w:val="NoSpacing"/>
        <w:spacing w:after="120"/>
        <w:rPr>
          <w:rFonts w:ascii="Gill Sans MT" w:hAnsi="Gill Sans MT"/>
          <w:sz w:val="24"/>
          <w:szCs w:val="24"/>
        </w:rPr>
      </w:pPr>
      <w:r w:rsidRPr="00825DFB">
        <w:rPr>
          <w:rFonts w:ascii="Gill Sans MT" w:hAnsi="Gill Sans MT"/>
          <w:sz w:val="24"/>
          <w:szCs w:val="24"/>
        </w:rPr>
        <w:t xml:space="preserve">Completing this category will necessarily require investigation </w:t>
      </w:r>
      <w:r w:rsidR="00660F0B">
        <w:rPr>
          <w:rFonts w:ascii="Gill Sans MT" w:hAnsi="Gill Sans MT"/>
          <w:sz w:val="24"/>
          <w:szCs w:val="24"/>
        </w:rPr>
        <w:t xml:space="preserve">and a fair </w:t>
      </w:r>
      <w:r w:rsidR="000774A1">
        <w:rPr>
          <w:rFonts w:ascii="Gill Sans MT" w:hAnsi="Gill Sans MT"/>
          <w:sz w:val="24"/>
          <w:szCs w:val="24"/>
        </w:rPr>
        <w:t>degree</w:t>
      </w:r>
      <w:r w:rsidR="00660F0B">
        <w:rPr>
          <w:rFonts w:ascii="Gill Sans MT" w:hAnsi="Gill Sans MT"/>
          <w:sz w:val="24"/>
          <w:szCs w:val="24"/>
        </w:rPr>
        <w:t xml:space="preserve"> of estimation</w:t>
      </w:r>
      <w:r w:rsidR="00662016">
        <w:rPr>
          <w:rFonts w:ascii="Gill Sans MT" w:hAnsi="Gill Sans MT"/>
          <w:sz w:val="24"/>
          <w:szCs w:val="24"/>
        </w:rPr>
        <w:t>. U</w:t>
      </w:r>
      <w:r w:rsidR="000774A1">
        <w:rPr>
          <w:rFonts w:ascii="Gill Sans MT" w:hAnsi="Gill Sans MT"/>
          <w:sz w:val="24"/>
          <w:szCs w:val="24"/>
        </w:rPr>
        <w:t>ltimately u</w:t>
      </w:r>
      <w:r w:rsidR="00662016">
        <w:rPr>
          <w:rFonts w:ascii="Gill Sans MT" w:hAnsi="Gill Sans MT"/>
          <w:sz w:val="24"/>
          <w:szCs w:val="24"/>
        </w:rPr>
        <w:t>sers need to recognize that t</w:t>
      </w:r>
      <w:r w:rsidRPr="00825DFB">
        <w:rPr>
          <w:rFonts w:ascii="Gill Sans MT" w:hAnsi="Gill Sans MT"/>
          <w:sz w:val="24"/>
          <w:szCs w:val="24"/>
        </w:rPr>
        <w:t>here is no perfect way to account</w:t>
      </w:r>
      <w:r w:rsidR="000774A1">
        <w:rPr>
          <w:rFonts w:ascii="Gill Sans MT" w:hAnsi="Gill Sans MT"/>
          <w:sz w:val="24"/>
          <w:szCs w:val="24"/>
        </w:rPr>
        <w:t xml:space="preserve"> in general terms</w:t>
      </w:r>
      <w:r w:rsidRPr="00825DFB">
        <w:rPr>
          <w:rFonts w:ascii="Gill Sans MT" w:hAnsi="Gill Sans MT"/>
          <w:sz w:val="24"/>
          <w:szCs w:val="24"/>
        </w:rPr>
        <w:t xml:space="preserve"> for those times during regular classroom operations when the students, as a group, are </w:t>
      </w:r>
      <w:r w:rsidR="00662016">
        <w:rPr>
          <w:rFonts w:ascii="Gill Sans MT" w:hAnsi="Gill Sans MT"/>
          <w:sz w:val="24"/>
          <w:szCs w:val="24"/>
        </w:rPr>
        <w:t>not</w:t>
      </w:r>
      <w:r w:rsidR="000774A1">
        <w:rPr>
          <w:rFonts w:ascii="Gill Sans MT" w:hAnsi="Gill Sans MT"/>
          <w:sz w:val="24"/>
          <w:szCs w:val="24"/>
        </w:rPr>
        <w:t xml:space="preserve"> engaged in direct learning simply because t</w:t>
      </w:r>
      <w:r w:rsidR="00662016">
        <w:rPr>
          <w:rFonts w:ascii="Gill Sans MT" w:hAnsi="Gill Sans MT"/>
          <w:sz w:val="24"/>
          <w:szCs w:val="24"/>
        </w:rPr>
        <w:t xml:space="preserve">he quantity of minutes is highly variable from class to class and day to day. Instead, </w:t>
      </w:r>
      <w:r w:rsidR="000774A1">
        <w:rPr>
          <w:rFonts w:ascii="Gill Sans MT" w:hAnsi="Gill Sans MT"/>
          <w:sz w:val="24"/>
          <w:szCs w:val="24"/>
        </w:rPr>
        <w:t>it is the act of gathering data to learn when and how often those moments occur across a typical day and week that will lead school personnel to think more deeply about how they are using each allocated minute they have available.</w:t>
      </w:r>
    </w:p>
    <w:p w:rsidR="00660F0B" w:rsidRDefault="000774A1" w:rsidP="00B13D3B">
      <w:pPr>
        <w:pStyle w:val="NoSpacing"/>
        <w:spacing w:after="120"/>
        <w:rPr>
          <w:rFonts w:ascii="Gill Sans MT" w:hAnsi="Gill Sans MT"/>
          <w:sz w:val="24"/>
          <w:szCs w:val="24"/>
        </w:rPr>
      </w:pPr>
      <w:r>
        <w:rPr>
          <w:rFonts w:ascii="Gill Sans MT" w:hAnsi="Gill Sans MT"/>
          <w:sz w:val="24"/>
          <w:szCs w:val="24"/>
        </w:rPr>
        <w:t>As for how to collect the data, the C</w:t>
      </w:r>
      <w:r w:rsidR="00213D41" w:rsidRPr="00825DFB">
        <w:rPr>
          <w:rFonts w:ascii="Gill Sans MT" w:hAnsi="Gill Sans MT"/>
          <w:sz w:val="24"/>
          <w:szCs w:val="24"/>
        </w:rPr>
        <w:t xml:space="preserve">lassroom </w:t>
      </w:r>
      <w:r>
        <w:rPr>
          <w:rFonts w:ascii="Gill Sans MT" w:hAnsi="Gill Sans MT"/>
          <w:sz w:val="24"/>
          <w:szCs w:val="24"/>
        </w:rPr>
        <w:t>Time Use</w:t>
      </w:r>
      <w:r w:rsidR="00213D41" w:rsidRPr="00825DFB">
        <w:rPr>
          <w:rFonts w:ascii="Gill Sans MT" w:hAnsi="Gill Sans MT"/>
          <w:sz w:val="24"/>
          <w:szCs w:val="24"/>
        </w:rPr>
        <w:t xml:space="preserve"> tool </w:t>
      </w:r>
      <w:r>
        <w:rPr>
          <w:rFonts w:ascii="Gill Sans MT" w:hAnsi="Gill Sans MT"/>
          <w:sz w:val="24"/>
          <w:szCs w:val="24"/>
        </w:rPr>
        <w:t>is the best place to start to capture some hard data on how many minutes within individual classrooms are spent in one of the three categories listed in the QTA tool (i.e., “in-class transitions,” “misc. interruptions,” and “p.a. announcements”)</w:t>
      </w:r>
      <w:r w:rsidR="00213D41" w:rsidRPr="00825DFB">
        <w:rPr>
          <w:rFonts w:ascii="Gill Sans MT" w:hAnsi="Gill Sans MT"/>
          <w:sz w:val="24"/>
          <w:szCs w:val="24"/>
        </w:rPr>
        <w:t xml:space="preserve">.  </w:t>
      </w:r>
      <w:r>
        <w:rPr>
          <w:rFonts w:ascii="Gill Sans MT" w:hAnsi="Gill Sans MT"/>
          <w:sz w:val="24"/>
          <w:szCs w:val="24"/>
        </w:rPr>
        <w:t xml:space="preserve">Schools should conduct a number of Classroom Time Use analyses (in both Academic and Non-core Academic classes and activities) and then input averages </w:t>
      </w:r>
      <w:r w:rsidR="00985A57">
        <w:rPr>
          <w:rFonts w:ascii="Gill Sans MT" w:hAnsi="Gill Sans MT"/>
          <w:sz w:val="24"/>
          <w:szCs w:val="24"/>
        </w:rPr>
        <w:t>in the relevant cells.</w:t>
      </w:r>
    </w:p>
    <w:p w:rsidR="009A1AF2" w:rsidRPr="009A1AF2" w:rsidRDefault="009A1AF2" w:rsidP="009A1AF2">
      <w:pPr>
        <w:pStyle w:val="NoSpacing"/>
        <w:spacing w:after="120"/>
        <w:jc w:val="center"/>
        <w:rPr>
          <w:rFonts w:asciiTheme="minorHAnsi" w:hAnsiTheme="minorHAnsi" w:cstheme="minorHAnsi"/>
          <w:sz w:val="20"/>
          <w:szCs w:val="20"/>
        </w:rPr>
      </w:pPr>
      <w:r w:rsidRPr="009A1AF2">
        <w:rPr>
          <w:rFonts w:asciiTheme="minorHAnsi" w:hAnsiTheme="minorHAnsi" w:cstheme="minorHAnsi"/>
          <w:sz w:val="20"/>
          <w:szCs w:val="20"/>
        </w:rPr>
        <w:t>-2-</w:t>
      </w:r>
    </w:p>
    <w:p w:rsidR="006829C4" w:rsidRDefault="00213D41" w:rsidP="00B13D3B">
      <w:pPr>
        <w:pStyle w:val="NoSpacing"/>
        <w:spacing w:after="120"/>
        <w:rPr>
          <w:rFonts w:ascii="Gill Sans MT" w:hAnsi="Gill Sans MT"/>
          <w:sz w:val="24"/>
          <w:szCs w:val="24"/>
        </w:rPr>
      </w:pPr>
      <w:r w:rsidRPr="00825DFB">
        <w:rPr>
          <w:rFonts w:ascii="Gill Sans MT" w:hAnsi="Gill Sans MT"/>
          <w:sz w:val="24"/>
          <w:szCs w:val="24"/>
        </w:rPr>
        <w:t xml:space="preserve">Note that this tool assumes that when time is not used for its intended purpose, the </w:t>
      </w:r>
      <w:r w:rsidR="009A60DA">
        <w:rPr>
          <w:rFonts w:ascii="Gill Sans MT" w:hAnsi="Gill Sans MT"/>
          <w:sz w:val="24"/>
          <w:szCs w:val="24"/>
        </w:rPr>
        <w:t>minutes automatically shift</w:t>
      </w:r>
      <w:r w:rsidR="00503BDB">
        <w:rPr>
          <w:rFonts w:ascii="Gill Sans MT" w:hAnsi="Gill Sans MT"/>
          <w:sz w:val="24"/>
          <w:szCs w:val="24"/>
        </w:rPr>
        <w:t xml:space="preserve"> to the </w:t>
      </w:r>
      <w:r w:rsidRPr="00825DFB">
        <w:rPr>
          <w:rFonts w:ascii="Gill Sans MT" w:hAnsi="Gill Sans MT"/>
          <w:sz w:val="24"/>
          <w:szCs w:val="24"/>
        </w:rPr>
        <w:t xml:space="preserve">Other category and, thus, there is no need to account for this separately in the Other </w:t>
      </w:r>
      <w:r w:rsidR="009A60DA">
        <w:rPr>
          <w:rFonts w:ascii="Gill Sans MT" w:hAnsi="Gill Sans MT"/>
          <w:sz w:val="24"/>
          <w:szCs w:val="24"/>
        </w:rPr>
        <w:t>column</w:t>
      </w:r>
      <w:r w:rsidRPr="00825DFB">
        <w:rPr>
          <w:rFonts w:ascii="Gill Sans MT" w:hAnsi="Gill Sans MT"/>
          <w:sz w:val="24"/>
          <w:szCs w:val="24"/>
        </w:rPr>
        <w:t>.</w:t>
      </w:r>
    </w:p>
    <w:p w:rsidR="00660F0B" w:rsidRDefault="00660F0B" w:rsidP="00B13D3B">
      <w:pPr>
        <w:pStyle w:val="NoSpacing"/>
        <w:spacing w:after="120"/>
        <w:rPr>
          <w:rFonts w:ascii="Gill Sans MT" w:hAnsi="Gill Sans MT"/>
          <w:sz w:val="24"/>
          <w:szCs w:val="24"/>
        </w:rPr>
      </w:pPr>
    </w:p>
    <w:p w:rsidR="00F26B4F" w:rsidRPr="003E5619" w:rsidRDefault="00F26B4F" w:rsidP="00F26B4F">
      <w:pPr>
        <w:pStyle w:val="NoSpacing"/>
        <w:spacing w:after="120"/>
        <w:rPr>
          <w:rFonts w:ascii="Gill Sans MT" w:hAnsi="Gill Sans MT"/>
          <w:b/>
          <w:sz w:val="24"/>
          <w:szCs w:val="24"/>
        </w:rPr>
      </w:pPr>
      <w:r>
        <w:rPr>
          <w:rFonts w:ascii="Gill Sans MT" w:hAnsi="Gill Sans MT"/>
          <w:b/>
          <w:sz w:val="24"/>
          <w:szCs w:val="24"/>
        </w:rPr>
        <w:t>How do we input data for</w:t>
      </w:r>
      <w:r w:rsidRPr="00B13D3B">
        <w:rPr>
          <w:rFonts w:ascii="Gill Sans MT" w:hAnsi="Gill Sans MT"/>
          <w:b/>
          <w:sz w:val="24"/>
          <w:szCs w:val="24"/>
        </w:rPr>
        <w:t xml:space="preserve"> </w:t>
      </w:r>
      <w:r w:rsidR="00112196">
        <w:rPr>
          <w:rFonts w:ascii="Gill Sans MT" w:hAnsi="Gill Sans MT"/>
          <w:b/>
          <w:sz w:val="24"/>
          <w:szCs w:val="24"/>
        </w:rPr>
        <w:t xml:space="preserve">Section 4: </w:t>
      </w:r>
      <w:r w:rsidRPr="00B13D3B">
        <w:rPr>
          <w:rFonts w:ascii="Gill Sans MT" w:hAnsi="Gill Sans MT"/>
          <w:b/>
          <w:sz w:val="24"/>
          <w:szCs w:val="24"/>
        </w:rPr>
        <w:t>“</w:t>
      </w:r>
      <w:r w:rsidR="00112196">
        <w:rPr>
          <w:rFonts w:ascii="Gill Sans MT" w:hAnsi="Gill Sans MT"/>
          <w:b/>
          <w:sz w:val="24"/>
          <w:szCs w:val="24"/>
        </w:rPr>
        <w:t>Estimating Annual Redirected Time”?</w:t>
      </w:r>
    </w:p>
    <w:p w:rsidR="00503BDB" w:rsidRDefault="00660F0B" w:rsidP="00660F0B">
      <w:pPr>
        <w:pStyle w:val="NoSpacing"/>
        <w:spacing w:after="120"/>
        <w:rPr>
          <w:rFonts w:ascii="Gill Sans MT" w:hAnsi="Gill Sans MT"/>
          <w:sz w:val="24"/>
          <w:szCs w:val="24"/>
        </w:rPr>
      </w:pPr>
      <w:r>
        <w:rPr>
          <w:rFonts w:ascii="Gill Sans MT" w:hAnsi="Gill Sans MT"/>
          <w:sz w:val="24"/>
          <w:szCs w:val="24"/>
        </w:rPr>
        <w:t>This</w:t>
      </w:r>
      <w:r w:rsidR="00F26B4F">
        <w:rPr>
          <w:rFonts w:ascii="Gill Sans MT" w:hAnsi="Gill Sans MT"/>
          <w:sz w:val="24"/>
          <w:szCs w:val="24"/>
        </w:rPr>
        <w:t xml:space="preserve"> type of time</w:t>
      </w:r>
      <w:r>
        <w:rPr>
          <w:rFonts w:ascii="Gill Sans MT" w:hAnsi="Gill Sans MT"/>
          <w:sz w:val="24"/>
          <w:szCs w:val="24"/>
        </w:rPr>
        <w:t xml:space="preserve"> i</w:t>
      </w:r>
      <w:r w:rsidR="00B15BA6" w:rsidRPr="00825DFB">
        <w:rPr>
          <w:rFonts w:ascii="Gill Sans MT" w:hAnsi="Gill Sans MT"/>
          <w:sz w:val="24"/>
          <w:szCs w:val="24"/>
        </w:rPr>
        <w:t xml:space="preserve">ncludes those </w:t>
      </w:r>
      <w:r w:rsidR="00F26B4F">
        <w:rPr>
          <w:rFonts w:ascii="Gill Sans MT" w:hAnsi="Gill Sans MT"/>
          <w:sz w:val="24"/>
          <w:szCs w:val="24"/>
        </w:rPr>
        <w:t>days and hours</w:t>
      </w:r>
      <w:r w:rsidR="00B15BA6" w:rsidRPr="00825DFB">
        <w:rPr>
          <w:rFonts w:ascii="Gill Sans MT" w:hAnsi="Gill Sans MT"/>
          <w:sz w:val="24"/>
          <w:szCs w:val="24"/>
        </w:rPr>
        <w:t xml:space="preserve"> during the year which are not </w:t>
      </w:r>
      <w:r w:rsidR="00F26B4F">
        <w:rPr>
          <w:rFonts w:ascii="Gill Sans MT" w:hAnsi="Gill Sans MT"/>
          <w:sz w:val="24"/>
          <w:szCs w:val="24"/>
        </w:rPr>
        <w:t xml:space="preserve">part of the weekly </w:t>
      </w:r>
      <w:r w:rsidR="00B15BA6" w:rsidRPr="00825DFB">
        <w:rPr>
          <w:rFonts w:ascii="Gill Sans MT" w:hAnsi="Gill Sans MT"/>
          <w:sz w:val="24"/>
          <w:szCs w:val="24"/>
        </w:rPr>
        <w:t>schedule, but which, nonetheless, must be accounted for</w:t>
      </w:r>
      <w:r w:rsidR="00F26B4F">
        <w:rPr>
          <w:rFonts w:ascii="Gill Sans MT" w:hAnsi="Gill Sans MT"/>
          <w:sz w:val="24"/>
          <w:szCs w:val="24"/>
        </w:rPr>
        <w:t xml:space="preserve"> because they take away time from weekly scheduled classes and activities. In fact, t</w:t>
      </w:r>
      <w:r w:rsidR="00F26B4F" w:rsidRPr="00825DFB">
        <w:rPr>
          <w:rFonts w:ascii="Gill Sans MT" w:hAnsi="Gill Sans MT"/>
          <w:sz w:val="24"/>
          <w:szCs w:val="24"/>
        </w:rPr>
        <w:t>he tool assumes that these times are automatically redirected away from Academic time and towards either Non-Core Academics or Other</w:t>
      </w:r>
      <w:r w:rsidR="00F26B4F">
        <w:rPr>
          <w:rFonts w:ascii="Gill Sans MT" w:hAnsi="Gill Sans MT"/>
          <w:sz w:val="24"/>
          <w:szCs w:val="24"/>
        </w:rPr>
        <w:t xml:space="preserve"> </w:t>
      </w:r>
      <w:r w:rsidR="009A60DA">
        <w:rPr>
          <w:rFonts w:ascii="Gill Sans MT" w:hAnsi="Gill Sans MT"/>
          <w:sz w:val="24"/>
          <w:szCs w:val="24"/>
        </w:rPr>
        <w:t>(Cells G52 – G53 and K51 – K55)</w:t>
      </w:r>
      <w:r>
        <w:rPr>
          <w:rFonts w:ascii="Gill Sans MT" w:hAnsi="Gill Sans MT"/>
          <w:sz w:val="24"/>
          <w:szCs w:val="24"/>
        </w:rPr>
        <w:t>. Thus,</w:t>
      </w:r>
      <w:r w:rsidR="00825DFB">
        <w:rPr>
          <w:rFonts w:ascii="Gill Sans MT" w:hAnsi="Gill Sans MT"/>
          <w:sz w:val="24"/>
          <w:szCs w:val="24"/>
        </w:rPr>
        <w:t xml:space="preserve"> there is no need to calculate an annual value for the Academic category.  </w:t>
      </w:r>
    </w:p>
    <w:p w:rsidR="00213D41" w:rsidRDefault="00503BDB" w:rsidP="00660F0B">
      <w:pPr>
        <w:pStyle w:val="NoSpacing"/>
        <w:spacing w:after="120"/>
        <w:rPr>
          <w:rFonts w:ascii="Gill Sans MT" w:hAnsi="Gill Sans MT"/>
          <w:sz w:val="24"/>
          <w:szCs w:val="24"/>
        </w:rPr>
      </w:pPr>
      <w:r>
        <w:rPr>
          <w:rFonts w:ascii="Gill Sans MT" w:hAnsi="Gill Sans MT"/>
          <w:sz w:val="24"/>
          <w:szCs w:val="24"/>
        </w:rPr>
        <w:t>Like in the “non-</w:t>
      </w:r>
      <w:r w:rsidR="00825DFB">
        <w:rPr>
          <w:rFonts w:ascii="Gill Sans MT" w:hAnsi="Gill Sans MT"/>
          <w:sz w:val="24"/>
          <w:szCs w:val="24"/>
        </w:rPr>
        <w:t xml:space="preserve">purposed” time estimates, these </w:t>
      </w:r>
      <w:r w:rsidR="0063632F">
        <w:rPr>
          <w:rFonts w:ascii="Gill Sans MT" w:hAnsi="Gill Sans MT"/>
          <w:sz w:val="24"/>
          <w:szCs w:val="24"/>
        </w:rPr>
        <w:t>estimates</w:t>
      </w:r>
      <w:r w:rsidR="00825DFB">
        <w:rPr>
          <w:rFonts w:ascii="Gill Sans MT" w:hAnsi="Gill Sans MT"/>
          <w:sz w:val="24"/>
          <w:szCs w:val="24"/>
        </w:rPr>
        <w:t xml:space="preserve"> will almost certainly be imprecise </w:t>
      </w:r>
      <w:r w:rsidR="0063632F">
        <w:rPr>
          <w:rFonts w:ascii="Gill Sans MT" w:hAnsi="Gill Sans MT"/>
          <w:sz w:val="24"/>
          <w:szCs w:val="24"/>
        </w:rPr>
        <w:t>and mask variations</w:t>
      </w:r>
      <w:r w:rsidR="00825DFB">
        <w:rPr>
          <w:rFonts w:ascii="Gill Sans MT" w:hAnsi="Gill Sans MT"/>
          <w:sz w:val="24"/>
          <w:szCs w:val="24"/>
        </w:rPr>
        <w:t xml:space="preserve"> from grade to grade (or student to student)</w:t>
      </w:r>
      <w:r w:rsidR="0063632F">
        <w:rPr>
          <w:rFonts w:ascii="Gill Sans MT" w:hAnsi="Gill Sans MT"/>
          <w:sz w:val="24"/>
          <w:szCs w:val="24"/>
        </w:rPr>
        <w:t>. Again, however, it is the exercise of accounting for these times throughout the year that might</w:t>
      </w:r>
      <w:r w:rsidR="00825DFB">
        <w:rPr>
          <w:rFonts w:ascii="Gill Sans MT" w:hAnsi="Gill Sans MT"/>
          <w:sz w:val="24"/>
          <w:szCs w:val="24"/>
        </w:rPr>
        <w:t xml:space="preserve"> push administrators and faculty to think more deeply about </w:t>
      </w:r>
      <w:r w:rsidR="00D42C71">
        <w:rPr>
          <w:rFonts w:ascii="Gill Sans MT" w:hAnsi="Gill Sans MT"/>
          <w:sz w:val="24"/>
          <w:szCs w:val="24"/>
        </w:rPr>
        <w:t xml:space="preserve">how </w:t>
      </w:r>
      <w:r w:rsidR="0063632F">
        <w:rPr>
          <w:rFonts w:ascii="Gill Sans MT" w:hAnsi="Gill Sans MT"/>
          <w:sz w:val="24"/>
          <w:szCs w:val="24"/>
        </w:rPr>
        <w:t xml:space="preserve">the school (sometimes unintentionally) </w:t>
      </w:r>
      <w:r>
        <w:rPr>
          <w:rFonts w:ascii="Gill Sans MT" w:hAnsi="Gill Sans MT"/>
          <w:sz w:val="24"/>
          <w:szCs w:val="24"/>
        </w:rPr>
        <w:t>end</w:t>
      </w:r>
      <w:r w:rsidR="0063632F">
        <w:rPr>
          <w:rFonts w:ascii="Gill Sans MT" w:hAnsi="Gill Sans MT"/>
          <w:sz w:val="24"/>
          <w:szCs w:val="24"/>
        </w:rPr>
        <w:t>s</w:t>
      </w:r>
      <w:r>
        <w:rPr>
          <w:rFonts w:ascii="Gill Sans MT" w:hAnsi="Gill Sans MT"/>
          <w:sz w:val="24"/>
          <w:szCs w:val="24"/>
        </w:rPr>
        <w:t xml:space="preserve"> up taking time </w:t>
      </w:r>
      <w:r w:rsidR="0063632F">
        <w:rPr>
          <w:rFonts w:ascii="Gill Sans MT" w:hAnsi="Gill Sans MT"/>
          <w:sz w:val="24"/>
          <w:szCs w:val="24"/>
        </w:rPr>
        <w:t xml:space="preserve">away </w:t>
      </w:r>
      <w:r>
        <w:rPr>
          <w:rFonts w:ascii="Gill Sans MT" w:hAnsi="Gill Sans MT"/>
          <w:sz w:val="24"/>
          <w:szCs w:val="24"/>
        </w:rPr>
        <w:t xml:space="preserve">from Academics and redistributing </w:t>
      </w:r>
      <w:r w:rsidR="0063632F">
        <w:rPr>
          <w:rFonts w:ascii="Gill Sans MT" w:hAnsi="Gill Sans MT"/>
          <w:sz w:val="24"/>
          <w:szCs w:val="24"/>
        </w:rPr>
        <w:t>it</w:t>
      </w:r>
      <w:r w:rsidR="00825DFB">
        <w:rPr>
          <w:rFonts w:ascii="Gill Sans MT" w:hAnsi="Gill Sans MT"/>
          <w:sz w:val="24"/>
          <w:szCs w:val="24"/>
        </w:rPr>
        <w:t xml:space="preserve"> to Non-Core Academics or Other.</w:t>
      </w:r>
      <w:r w:rsidR="0063632F">
        <w:rPr>
          <w:rFonts w:ascii="Gill Sans MT" w:hAnsi="Gill Sans MT"/>
          <w:sz w:val="24"/>
          <w:szCs w:val="24"/>
        </w:rPr>
        <w:t xml:space="preserve"> This deeper understanding might then lead school personnel to reconsider how to alter the redistribution as it is currently taking place.</w:t>
      </w:r>
    </w:p>
    <w:p w:rsidR="00825DFB" w:rsidRDefault="00825DFB" w:rsidP="00825DFB">
      <w:pPr>
        <w:pStyle w:val="NoSpacing"/>
        <w:spacing w:after="120"/>
        <w:rPr>
          <w:rFonts w:ascii="Gill Sans MT" w:hAnsi="Gill Sans MT"/>
          <w:sz w:val="24"/>
          <w:szCs w:val="24"/>
        </w:rPr>
      </w:pPr>
    </w:p>
    <w:p w:rsidR="00D42C71" w:rsidRPr="00D42C71" w:rsidRDefault="00D42C71" w:rsidP="00825DFB">
      <w:pPr>
        <w:pStyle w:val="NoSpacing"/>
        <w:spacing w:after="120"/>
        <w:rPr>
          <w:rFonts w:ascii="Gill Sans MT" w:hAnsi="Gill Sans MT"/>
          <w:b/>
          <w:sz w:val="24"/>
          <w:szCs w:val="24"/>
        </w:rPr>
      </w:pPr>
      <w:r w:rsidRPr="00D42C71">
        <w:rPr>
          <w:rFonts w:ascii="Gill Sans MT" w:hAnsi="Gill Sans MT"/>
          <w:b/>
          <w:sz w:val="24"/>
          <w:szCs w:val="24"/>
        </w:rPr>
        <w:t>What analysis does the tool provide</w:t>
      </w:r>
      <w:r w:rsidR="00112196">
        <w:rPr>
          <w:rFonts w:ascii="Gill Sans MT" w:hAnsi="Gill Sans MT"/>
          <w:b/>
          <w:sz w:val="24"/>
          <w:szCs w:val="24"/>
        </w:rPr>
        <w:t xml:space="preserve"> in Section 5</w:t>
      </w:r>
      <w:r w:rsidRPr="00D42C71">
        <w:rPr>
          <w:rFonts w:ascii="Gill Sans MT" w:hAnsi="Gill Sans MT"/>
          <w:b/>
          <w:sz w:val="24"/>
          <w:szCs w:val="24"/>
        </w:rPr>
        <w:t>?</w:t>
      </w:r>
    </w:p>
    <w:p w:rsidR="00D42C71" w:rsidRDefault="00D42C71" w:rsidP="00825DFB">
      <w:pPr>
        <w:pStyle w:val="NoSpacing"/>
        <w:spacing w:after="120"/>
        <w:rPr>
          <w:rFonts w:ascii="Gill Sans MT" w:hAnsi="Gill Sans MT"/>
          <w:sz w:val="24"/>
          <w:szCs w:val="24"/>
        </w:rPr>
      </w:pPr>
      <w:r>
        <w:rPr>
          <w:rFonts w:ascii="Gill Sans MT" w:hAnsi="Gill Sans MT"/>
          <w:sz w:val="24"/>
          <w:szCs w:val="24"/>
        </w:rPr>
        <w:t>After all the data are inputted in the proper cells, the tool will automatically calculate the number of weekly minutes in the three broad catego</w:t>
      </w:r>
      <w:r w:rsidR="0063632F">
        <w:rPr>
          <w:rFonts w:ascii="Gill Sans MT" w:hAnsi="Gill Sans MT"/>
          <w:sz w:val="24"/>
          <w:szCs w:val="24"/>
        </w:rPr>
        <w:t xml:space="preserve">ries </w:t>
      </w:r>
      <w:r>
        <w:rPr>
          <w:rFonts w:ascii="Gill Sans MT" w:hAnsi="Gill Sans MT"/>
          <w:sz w:val="24"/>
          <w:szCs w:val="24"/>
        </w:rPr>
        <w:t>and the percentage</w:t>
      </w:r>
      <w:r w:rsidR="0063632F">
        <w:rPr>
          <w:rFonts w:ascii="Gill Sans MT" w:hAnsi="Gill Sans MT"/>
          <w:sz w:val="24"/>
          <w:szCs w:val="24"/>
        </w:rPr>
        <w:t xml:space="preserve"> of each</w:t>
      </w:r>
      <w:r>
        <w:rPr>
          <w:rFonts w:ascii="Gill Sans MT" w:hAnsi="Gill Sans MT"/>
          <w:sz w:val="24"/>
          <w:szCs w:val="24"/>
        </w:rPr>
        <w:t>.</w:t>
      </w:r>
      <w:r w:rsidR="0063632F">
        <w:rPr>
          <w:rFonts w:ascii="Gill Sans MT" w:hAnsi="Gill Sans MT"/>
          <w:sz w:val="24"/>
          <w:szCs w:val="24"/>
        </w:rPr>
        <w:t xml:space="preserve"> (The percentages are relative to each other, meaning that they should add up to 100.) </w:t>
      </w:r>
      <w:r>
        <w:rPr>
          <w:rFonts w:ascii="Gill Sans MT" w:hAnsi="Gill Sans MT"/>
          <w:sz w:val="24"/>
          <w:szCs w:val="24"/>
        </w:rPr>
        <w:t xml:space="preserve"> It will also calculate the total annual hours</w:t>
      </w:r>
      <w:r w:rsidR="0063632F">
        <w:rPr>
          <w:rFonts w:ascii="Gill Sans MT" w:hAnsi="Gill Sans MT"/>
          <w:sz w:val="24"/>
          <w:szCs w:val="24"/>
        </w:rPr>
        <w:t xml:space="preserve"> in the three broad categories </w:t>
      </w:r>
      <w:r>
        <w:rPr>
          <w:rFonts w:ascii="Gill Sans MT" w:hAnsi="Gill Sans MT"/>
          <w:sz w:val="24"/>
          <w:szCs w:val="24"/>
        </w:rPr>
        <w:t xml:space="preserve">and the percentage of </w:t>
      </w:r>
      <w:r w:rsidR="0063632F">
        <w:rPr>
          <w:rFonts w:ascii="Gill Sans MT" w:hAnsi="Gill Sans MT"/>
          <w:sz w:val="24"/>
          <w:szCs w:val="24"/>
        </w:rPr>
        <w:t>each.</w:t>
      </w:r>
      <w:r>
        <w:rPr>
          <w:rFonts w:ascii="Gill Sans MT" w:hAnsi="Gill Sans MT"/>
          <w:sz w:val="24"/>
          <w:szCs w:val="24"/>
        </w:rPr>
        <w:t xml:space="preserve">  Schools then use t</w:t>
      </w:r>
      <w:r w:rsidR="00112196">
        <w:rPr>
          <w:rFonts w:ascii="Gill Sans MT" w:hAnsi="Gill Sans MT"/>
          <w:sz w:val="24"/>
          <w:szCs w:val="24"/>
        </w:rPr>
        <w:t xml:space="preserve">his information </w:t>
      </w:r>
      <w:r>
        <w:rPr>
          <w:rFonts w:ascii="Gill Sans MT" w:hAnsi="Gill Sans MT"/>
          <w:sz w:val="24"/>
          <w:szCs w:val="24"/>
        </w:rPr>
        <w:t>to determine if changes should be made to how time is spent.</w:t>
      </w:r>
    </w:p>
    <w:p w:rsidR="00D42C71" w:rsidRDefault="00D42C71" w:rsidP="00825DFB">
      <w:pPr>
        <w:pStyle w:val="NoSpacing"/>
        <w:spacing w:after="120"/>
        <w:rPr>
          <w:rFonts w:ascii="Gill Sans MT" w:hAnsi="Gill Sans MT"/>
          <w:sz w:val="24"/>
          <w:szCs w:val="24"/>
        </w:rPr>
      </w:pPr>
    </w:p>
    <w:p w:rsidR="00D42C71" w:rsidRDefault="00D42C71" w:rsidP="00825DFB">
      <w:pPr>
        <w:pStyle w:val="NoSpacing"/>
        <w:spacing w:after="120"/>
        <w:rPr>
          <w:rFonts w:ascii="Gill Sans MT" w:hAnsi="Gill Sans MT"/>
          <w:sz w:val="24"/>
          <w:szCs w:val="24"/>
        </w:rPr>
      </w:pPr>
    </w:p>
    <w:p w:rsidR="009A1AF2" w:rsidRDefault="009A1AF2" w:rsidP="00825DFB">
      <w:pPr>
        <w:pStyle w:val="NoSpacing"/>
        <w:spacing w:after="120"/>
        <w:rPr>
          <w:rFonts w:ascii="Gill Sans MT" w:hAnsi="Gill Sans MT"/>
          <w:sz w:val="24"/>
          <w:szCs w:val="24"/>
        </w:rPr>
      </w:pPr>
    </w:p>
    <w:p w:rsidR="009A1AF2" w:rsidRDefault="009A1AF2" w:rsidP="00825DFB">
      <w:pPr>
        <w:pStyle w:val="NoSpacing"/>
        <w:spacing w:after="120"/>
        <w:rPr>
          <w:rFonts w:ascii="Gill Sans MT" w:hAnsi="Gill Sans MT"/>
          <w:sz w:val="24"/>
          <w:szCs w:val="24"/>
        </w:rPr>
      </w:pPr>
    </w:p>
    <w:p w:rsidR="009A1AF2" w:rsidRDefault="009A1AF2" w:rsidP="00825DFB">
      <w:pPr>
        <w:pStyle w:val="NoSpacing"/>
        <w:spacing w:after="120"/>
        <w:rPr>
          <w:rFonts w:ascii="Gill Sans MT" w:hAnsi="Gill Sans MT"/>
          <w:sz w:val="24"/>
          <w:szCs w:val="24"/>
        </w:rPr>
      </w:pPr>
    </w:p>
    <w:p w:rsidR="009A1AF2" w:rsidRDefault="009A1AF2" w:rsidP="00825DFB">
      <w:pPr>
        <w:pStyle w:val="NoSpacing"/>
        <w:spacing w:after="120"/>
        <w:rPr>
          <w:rFonts w:ascii="Gill Sans MT" w:hAnsi="Gill Sans MT"/>
          <w:sz w:val="24"/>
          <w:szCs w:val="24"/>
        </w:rPr>
      </w:pPr>
    </w:p>
    <w:p w:rsidR="009A1AF2" w:rsidRDefault="009A1AF2" w:rsidP="00825DFB">
      <w:pPr>
        <w:pStyle w:val="NoSpacing"/>
        <w:spacing w:after="120"/>
        <w:rPr>
          <w:rFonts w:ascii="Gill Sans MT" w:hAnsi="Gill Sans MT"/>
          <w:sz w:val="24"/>
          <w:szCs w:val="24"/>
        </w:rPr>
      </w:pPr>
    </w:p>
    <w:p w:rsidR="009A1AF2" w:rsidRDefault="009A1AF2" w:rsidP="00825DFB">
      <w:pPr>
        <w:pStyle w:val="NoSpacing"/>
        <w:spacing w:after="120"/>
        <w:rPr>
          <w:rFonts w:ascii="Gill Sans MT" w:hAnsi="Gill Sans MT"/>
          <w:sz w:val="24"/>
          <w:szCs w:val="24"/>
        </w:rPr>
      </w:pPr>
    </w:p>
    <w:p w:rsidR="009A1AF2" w:rsidRDefault="009A1AF2" w:rsidP="00825DFB">
      <w:pPr>
        <w:pStyle w:val="NoSpacing"/>
        <w:spacing w:after="120"/>
        <w:rPr>
          <w:rFonts w:ascii="Gill Sans MT" w:hAnsi="Gill Sans MT"/>
          <w:sz w:val="24"/>
          <w:szCs w:val="24"/>
        </w:rPr>
      </w:pPr>
    </w:p>
    <w:p w:rsidR="009A1AF2" w:rsidRDefault="009A1AF2" w:rsidP="00825DFB">
      <w:pPr>
        <w:pStyle w:val="NoSpacing"/>
        <w:spacing w:after="120"/>
        <w:rPr>
          <w:rFonts w:ascii="Gill Sans MT" w:hAnsi="Gill Sans MT"/>
          <w:sz w:val="24"/>
          <w:szCs w:val="24"/>
        </w:rPr>
      </w:pPr>
    </w:p>
    <w:p w:rsidR="009A1AF2" w:rsidRDefault="009A1AF2" w:rsidP="00825DFB">
      <w:pPr>
        <w:pStyle w:val="NoSpacing"/>
        <w:spacing w:after="120"/>
        <w:rPr>
          <w:rFonts w:ascii="Gill Sans MT" w:hAnsi="Gill Sans MT"/>
          <w:sz w:val="24"/>
          <w:szCs w:val="24"/>
        </w:rPr>
      </w:pPr>
    </w:p>
    <w:p w:rsidR="009A1AF2" w:rsidRPr="009A1AF2" w:rsidRDefault="009A1AF2" w:rsidP="009A1AF2">
      <w:pPr>
        <w:pStyle w:val="NoSpacing"/>
        <w:spacing w:after="120"/>
        <w:jc w:val="center"/>
        <w:rPr>
          <w:rFonts w:asciiTheme="minorHAnsi" w:hAnsiTheme="minorHAnsi" w:cstheme="minorHAnsi"/>
          <w:sz w:val="20"/>
          <w:szCs w:val="20"/>
        </w:rPr>
      </w:pPr>
      <w:r>
        <w:rPr>
          <w:rFonts w:asciiTheme="minorHAnsi" w:hAnsiTheme="minorHAnsi" w:cstheme="minorHAnsi"/>
          <w:sz w:val="20"/>
          <w:szCs w:val="20"/>
        </w:rPr>
        <w:t xml:space="preserve">                                                                                                                                                                                                                                         </w:t>
      </w:r>
      <w:r w:rsidRPr="009A1AF2">
        <w:rPr>
          <w:rFonts w:asciiTheme="minorHAnsi" w:hAnsiTheme="minorHAnsi" w:cstheme="minorHAnsi"/>
          <w:sz w:val="20"/>
          <w:szCs w:val="20"/>
        </w:rPr>
        <w:t>-3-</w:t>
      </w:r>
    </w:p>
    <w:sectPr w:rsidR="009A1AF2" w:rsidRPr="009A1AF2" w:rsidSect="009A1AF2">
      <w:footerReference w:type="default" r:id="rId10"/>
      <w:pgSz w:w="12240" w:h="15840" w:code="1"/>
      <w:pgMar w:top="1152" w:right="1440" w:bottom="288" w:left="1440" w:footer="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6AC0" w:rsidRDefault="00436AC0" w:rsidP="003932C2">
      <w:pPr>
        <w:spacing w:after="0" w:line="240" w:lineRule="auto"/>
      </w:pPr>
      <w:r>
        <w:separator/>
      </w:r>
    </w:p>
  </w:endnote>
  <w:endnote w:type="continuationSeparator" w:id="0">
    <w:p w:rsidR="00436AC0" w:rsidRDefault="00436AC0" w:rsidP="003932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Gill Sans MT">
    <w:panose1 w:val="020B05020201040202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AC0" w:rsidRDefault="00436AC0">
    <w:pPr>
      <w:pStyle w:val="Footer"/>
    </w:pPr>
    <w:r>
      <w:rPr>
        <w:noProof/>
      </w:rPr>
      <w:drawing>
        <wp:anchor distT="0" distB="0" distL="114300" distR="114300" simplePos="0" relativeHeight="251660288" behindDoc="0" locked="0" layoutInCell="1" allowOverlap="1">
          <wp:simplePos x="0" y="0"/>
          <wp:positionH relativeFrom="column">
            <wp:posOffset>-352425</wp:posOffset>
          </wp:positionH>
          <wp:positionV relativeFrom="paragraph">
            <wp:posOffset>139065</wp:posOffset>
          </wp:positionV>
          <wp:extent cx="6629400" cy="1905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629400" cy="190500"/>
                  </a:xfrm>
                  <a:prstGeom prst="rect">
                    <a:avLst/>
                  </a:prstGeom>
                  <a:noFill/>
                </pic:spPr>
              </pic:pic>
            </a:graphicData>
          </a:graphic>
        </wp:anchor>
      </w:drawing>
    </w:r>
  </w:p>
  <w:p w:rsidR="00436AC0" w:rsidRDefault="00436AC0" w:rsidP="0029464B">
    <w:pPr>
      <w:pStyle w:val="msoaddress"/>
      <w:widowControl w:val="0"/>
      <w:jc w:val="center"/>
    </w:pPr>
  </w:p>
  <w:p w:rsidR="00436AC0" w:rsidRDefault="00436AC0" w:rsidP="0029464B">
    <w:pPr>
      <w:pStyle w:val="msoaddress"/>
      <w:widowControl w:val="0"/>
      <w:jc w:val="center"/>
    </w:pPr>
  </w:p>
  <w:p w:rsidR="00436AC0" w:rsidRDefault="00436AC0" w:rsidP="0029464B">
    <w:pPr>
      <w:pStyle w:val="msoaddress"/>
      <w:widowControl w:val="0"/>
      <w:jc w:val="center"/>
    </w:pPr>
    <w:r>
      <w:t>© National Center on Time &amp; Learning</w:t>
    </w:r>
  </w:p>
  <w:p w:rsidR="00436AC0" w:rsidRDefault="007B1BFA" w:rsidP="0029464B">
    <w:pPr>
      <w:pStyle w:val="msoaddress"/>
      <w:widowControl w:val="0"/>
      <w:jc w:val="center"/>
    </w:pPr>
    <w:r>
      <w:t>24 School Street, 3</w:t>
    </w:r>
    <w:r w:rsidRPr="007B1BFA">
      <w:rPr>
        <w:vertAlign w:val="superscript"/>
      </w:rPr>
      <w:t>rd</w:t>
    </w:r>
    <w:r>
      <w:t xml:space="preserve"> </w:t>
    </w:r>
    <w:r w:rsidR="00436AC0">
      <w:t>Floor, Boston, MA  02108</w:t>
    </w:r>
  </w:p>
  <w:p w:rsidR="00436AC0" w:rsidRDefault="009304EF" w:rsidP="0029464B">
    <w:pPr>
      <w:pStyle w:val="msoaddress"/>
      <w:widowControl w:val="0"/>
      <w:jc w:val="center"/>
    </w:pPr>
    <w:hyperlink r:id="rId2" w:history="1">
      <w:r w:rsidR="009A1AF2" w:rsidRPr="000738F7">
        <w:rPr>
          <w:rStyle w:val="Hyperlink"/>
        </w:rPr>
        <w:t>www.timeandlearning.org</w:t>
      </w:r>
    </w:hyperlink>
    <w:r w:rsidR="009A1AF2">
      <w:t xml:space="preserve">                                                                                </w:t>
    </w:r>
  </w:p>
  <w:p w:rsidR="009A1AF2" w:rsidRDefault="009A1AF2" w:rsidP="0029464B">
    <w:pPr>
      <w:pStyle w:val="msoaddress"/>
      <w:widowControl w:val="0"/>
      <w:jc w:val="center"/>
    </w:pPr>
  </w:p>
  <w:p w:rsidR="009A1AF2" w:rsidRDefault="009A1AF2" w:rsidP="0029464B">
    <w:pPr>
      <w:pStyle w:val="msoaddress"/>
      <w:widowControl w:val="0"/>
      <w:jc w:val="cen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6AC0" w:rsidRDefault="00436AC0" w:rsidP="003932C2">
      <w:pPr>
        <w:spacing w:after="0" w:line="240" w:lineRule="auto"/>
      </w:pPr>
      <w:r>
        <w:separator/>
      </w:r>
    </w:p>
  </w:footnote>
  <w:footnote w:type="continuationSeparator" w:id="0">
    <w:p w:rsidR="00436AC0" w:rsidRDefault="00436AC0" w:rsidP="003932C2">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B0203"/>
    <w:multiLevelType w:val="hybridMultilevel"/>
    <w:tmpl w:val="D0B8DE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ED2B57"/>
    <w:multiLevelType w:val="hybridMultilevel"/>
    <w:tmpl w:val="E8CEE5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01440F"/>
    <w:multiLevelType w:val="hybridMultilevel"/>
    <w:tmpl w:val="8C96BBC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D828F6"/>
    <w:multiLevelType w:val="hybridMultilevel"/>
    <w:tmpl w:val="61BE40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AE1D79"/>
    <w:multiLevelType w:val="hybridMultilevel"/>
    <w:tmpl w:val="BC06C2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AA02D0"/>
    <w:multiLevelType w:val="hybridMultilevel"/>
    <w:tmpl w:val="1C66E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6EC6715"/>
    <w:multiLevelType w:val="hybridMultilevel"/>
    <w:tmpl w:val="ABCAE7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550AAE"/>
    <w:multiLevelType w:val="hybridMultilevel"/>
    <w:tmpl w:val="DC4E2C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7"/>
  </w:num>
  <w:num w:numId="6">
    <w:abstractNumId w:val="6"/>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204AD4"/>
    <w:rsid w:val="0003118F"/>
    <w:rsid w:val="00056A38"/>
    <w:rsid w:val="000774A1"/>
    <w:rsid w:val="0009614B"/>
    <w:rsid w:val="000D6FA6"/>
    <w:rsid w:val="001058FA"/>
    <w:rsid w:val="00112196"/>
    <w:rsid w:val="001667FF"/>
    <w:rsid w:val="0019379E"/>
    <w:rsid w:val="002002D7"/>
    <w:rsid w:val="00200536"/>
    <w:rsid w:val="00204AD4"/>
    <w:rsid w:val="00213D41"/>
    <w:rsid w:val="0029150F"/>
    <w:rsid w:val="0029464B"/>
    <w:rsid w:val="002B47CF"/>
    <w:rsid w:val="002C682F"/>
    <w:rsid w:val="00306031"/>
    <w:rsid w:val="003337F0"/>
    <w:rsid w:val="003459BB"/>
    <w:rsid w:val="00377036"/>
    <w:rsid w:val="003932C2"/>
    <w:rsid w:val="003A1F2C"/>
    <w:rsid w:val="003C0D47"/>
    <w:rsid w:val="003E5619"/>
    <w:rsid w:val="0040660F"/>
    <w:rsid w:val="00431B47"/>
    <w:rsid w:val="00436AC0"/>
    <w:rsid w:val="0044104F"/>
    <w:rsid w:val="005038D6"/>
    <w:rsid w:val="00503BDB"/>
    <w:rsid w:val="00514FDA"/>
    <w:rsid w:val="00517AB2"/>
    <w:rsid w:val="005306EE"/>
    <w:rsid w:val="00536A7F"/>
    <w:rsid w:val="00537ABF"/>
    <w:rsid w:val="00576A33"/>
    <w:rsid w:val="005B3EFD"/>
    <w:rsid w:val="006009E2"/>
    <w:rsid w:val="0063632F"/>
    <w:rsid w:val="00652BC6"/>
    <w:rsid w:val="0065494E"/>
    <w:rsid w:val="00660F0B"/>
    <w:rsid w:val="00662016"/>
    <w:rsid w:val="006829C4"/>
    <w:rsid w:val="006B58F9"/>
    <w:rsid w:val="006D71BC"/>
    <w:rsid w:val="006F2BBB"/>
    <w:rsid w:val="00710417"/>
    <w:rsid w:val="00740A6B"/>
    <w:rsid w:val="00747CE6"/>
    <w:rsid w:val="00763C76"/>
    <w:rsid w:val="00764B99"/>
    <w:rsid w:val="007979DB"/>
    <w:rsid w:val="007B1BFA"/>
    <w:rsid w:val="007E7858"/>
    <w:rsid w:val="007F6035"/>
    <w:rsid w:val="00825DFB"/>
    <w:rsid w:val="008264E1"/>
    <w:rsid w:val="00826FD0"/>
    <w:rsid w:val="008C765A"/>
    <w:rsid w:val="008F3ECC"/>
    <w:rsid w:val="009304EF"/>
    <w:rsid w:val="0095224D"/>
    <w:rsid w:val="0097337B"/>
    <w:rsid w:val="00973A0F"/>
    <w:rsid w:val="00985A57"/>
    <w:rsid w:val="009A1AF2"/>
    <w:rsid w:val="009A60DA"/>
    <w:rsid w:val="009B07F0"/>
    <w:rsid w:val="009B5AFE"/>
    <w:rsid w:val="00A16249"/>
    <w:rsid w:val="00A53703"/>
    <w:rsid w:val="00A61161"/>
    <w:rsid w:val="00AE61B4"/>
    <w:rsid w:val="00B030E6"/>
    <w:rsid w:val="00B13D3B"/>
    <w:rsid w:val="00B15BA6"/>
    <w:rsid w:val="00B4781A"/>
    <w:rsid w:val="00B575C5"/>
    <w:rsid w:val="00B83563"/>
    <w:rsid w:val="00BA531B"/>
    <w:rsid w:val="00C033B5"/>
    <w:rsid w:val="00C16198"/>
    <w:rsid w:val="00CF008A"/>
    <w:rsid w:val="00D22C84"/>
    <w:rsid w:val="00D4187E"/>
    <w:rsid w:val="00D42C71"/>
    <w:rsid w:val="00D57284"/>
    <w:rsid w:val="00D829F0"/>
    <w:rsid w:val="00E0276E"/>
    <w:rsid w:val="00E66059"/>
    <w:rsid w:val="00E735ED"/>
    <w:rsid w:val="00E80AD8"/>
    <w:rsid w:val="00EC7815"/>
    <w:rsid w:val="00EE1ED8"/>
    <w:rsid w:val="00F26B4F"/>
    <w:rsid w:val="00F81E3E"/>
    <w:rsid w:val="00F83F77"/>
    <w:rsid w:val="00FA2376"/>
  </w:rsids>
  <m:mathPr>
    <m:mathFont m:val="Consola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0F"/>
    <w:pPr>
      <w:spacing w:after="200" w:line="276" w:lineRule="auto"/>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99"/>
    <w:rsid w:val="00204AD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D57284"/>
    <w:pPr>
      <w:ind w:left="720"/>
      <w:contextualSpacing/>
    </w:pPr>
  </w:style>
  <w:style w:type="paragraph" w:styleId="BalloonText">
    <w:name w:val="Balloon Text"/>
    <w:basedOn w:val="Normal"/>
    <w:link w:val="BalloonTextChar"/>
    <w:uiPriority w:val="99"/>
    <w:semiHidden/>
    <w:rsid w:val="000D6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D6FA6"/>
    <w:rPr>
      <w:rFonts w:ascii="Tahoma" w:hAnsi="Tahoma" w:cs="Tahoma"/>
      <w:sz w:val="16"/>
      <w:szCs w:val="16"/>
    </w:rPr>
  </w:style>
  <w:style w:type="table" w:styleId="LightShading-Accent4">
    <w:name w:val="Light Shading Accent 4"/>
    <w:basedOn w:val="TableNormal"/>
    <w:uiPriority w:val="99"/>
    <w:rsid w:val="00BA531B"/>
    <w:rPr>
      <w:color w:val="5F497A"/>
      <w:sz w:val="20"/>
      <w:szCs w:val="2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left w:val="nil"/>
          <w:right w:val="nil"/>
          <w:insideH w:val="nil"/>
          <w:insideV w:val="nil"/>
        </w:tcBorders>
        <w:shd w:val="clear" w:color="auto" w:fill="DFD8E8"/>
      </w:tcPr>
    </w:tblStylePr>
  </w:style>
  <w:style w:type="table" w:styleId="MediumShading2-Accent6">
    <w:name w:val="Medium Shading 2 Accent 6"/>
    <w:basedOn w:val="TableNormal"/>
    <w:uiPriority w:val="99"/>
    <w:rsid w:val="00BA531B"/>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F79646"/>
      </w:tcPr>
    </w:tblStylePr>
    <w:tblStylePr w:type="lastCol">
      <w:rPr>
        <w:rFonts w:cs="Times New Roman"/>
        <w:b/>
        <w:bCs/>
        <w:color w:val="FFFFFF"/>
      </w:rPr>
      <w:tblPr/>
      <w:tcPr>
        <w:tcBorders>
          <w:left w:val="nil"/>
          <w:right w:val="nil"/>
          <w:insideH w:val="nil"/>
          <w:insideV w:val="nil"/>
        </w:tcBorders>
        <w:shd w:val="clear" w:color="auto" w:fill="F7964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uiPriority w:val="99"/>
    <w:rsid w:val="00BA531B"/>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000000"/>
      </w:tcPr>
    </w:tblStylePr>
    <w:tblStylePr w:type="lastCol">
      <w:rPr>
        <w:rFonts w:cs="Times New Roman"/>
        <w:b/>
        <w:bCs/>
        <w:color w:val="FFFFFF"/>
      </w:rPr>
      <w:tblPr/>
      <w:tcPr>
        <w:tcBorders>
          <w:left w:val="nil"/>
          <w:right w:val="nil"/>
          <w:insideH w:val="nil"/>
          <w:insideV w:val="nil"/>
        </w:tcBorders>
        <w:shd w:val="clear" w:color="auto" w:fill="000000"/>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99"/>
    <w:rsid w:val="00BA531B"/>
    <w:rPr>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Times New Roman" w:eastAsia="Times New Roman" w:hAnsi="Times New Rom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MediumShading1-Accent5">
    <w:name w:val="Medium Shading 1 Accent 5"/>
    <w:basedOn w:val="TableNormal"/>
    <w:uiPriority w:val="99"/>
    <w:rsid w:val="00BA531B"/>
    <w:rPr>
      <w:sz w:val="20"/>
      <w:szCs w:val="20"/>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Times New Roman"/>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cPr>
    </w:tblStylePr>
    <w:tblStylePr w:type="band1Horz">
      <w:rPr>
        <w:rFonts w:cs="Times New Roman"/>
      </w:rPr>
      <w:tblPr/>
      <w:tcPr>
        <w:tcBorders>
          <w:insideH w:val="nil"/>
          <w:insideV w:val="nil"/>
        </w:tcBorders>
        <w:shd w:val="clear" w:color="auto" w:fill="D2EAF1"/>
      </w:tcPr>
    </w:tblStylePr>
    <w:tblStylePr w:type="band2Horz">
      <w:rPr>
        <w:rFonts w:cs="Times New Roman"/>
      </w:rPr>
      <w:tblPr/>
      <w:tcPr>
        <w:tcBorders>
          <w:insideH w:val="nil"/>
          <w:insideV w:val="nil"/>
        </w:tcBorders>
      </w:tcPr>
    </w:tblStylePr>
  </w:style>
  <w:style w:type="table" w:styleId="LightGrid-Accent3">
    <w:name w:val="Light Grid Accent 3"/>
    <w:basedOn w:val="TableNormal"/>
    <w:uiPriority w:val="99"/>
    <w:rsid w:val="00BA531B"/>
    <w:rPr>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Times New Roman" w:eastAsia="Times New Roman" w:hAnsi="Times New Rom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Caption">
    <w:name w:val="caption"/>
    <w:basedOn w:val="Normal"/>
    <w:next w:val="Normal"/>
    <w:uiPriority w:val="99"/>
    <w:qFormat/>
    <w:rsid w:val="0019379E"/>
    <w:pPr>
      <w:spacing w:line="240" w:lineRule="auto"/>
    </w:pPr>
    <w:rPr>
      <w:b/>
      <w:bCs/>
      <w:color w:val="4F81BD"/>
      <w:sz w:val="18"/>
      <w:szCs w:val="18"/>
    </w:rPr>
  </w:style>
  <w:style w:type="paragraph" w:styleId="NoSpacing">
    <w:name w:val="No Spacing"/>
    <w:uiPriority w:val="99"/>
    <w:qFormat/>
    <w:rsid w:val="00710417"/>
  </w:style>
  <w:style w:type="character" w:styleId="Hyperlink">
    <w:name w:val="Hyperlink"/>
    <w:basedOn w:val="DefaultParagraphFont"/>
    <w:uiPriority w:val="99"/>
    <w:rsid w:val="00710417"/>
    <w:rPr>
      <w:rFonts w:cs="Times New Roman"/>
      <w:color w:val="0000FF"/>
      <w:u w:val="single"/>
    </w:rPr>
  </w:style>
  <w:style w:type="character" w:styleId="FollowedHyperlink">
    <w:name w:val="FollowedHyperlink"/>
    <w:basedOn w:val="DefaultParagraphFont"/>
    <w:uiPriority w:val="99"/>
    <w:semiHidden/>
    <w:rsid w:val="00E0276E"/>
    <w:rPr>
      <w:rFonts w:cs="Times New Roman"/>
      <w:color w:val="800080"/>
      <w:u w:val="single"/>
    </w:rPr>
  </w:style>
  <w:style w:type="paragraph" w:styleId="Header">
    <w:name w:val="header"/>
    <w:basedOn w:val="Normal"/>
    <w:link w:val="HeaderChar"/>
    <w:uiPriority w:val="99"/>
    <w:rsid w:val="003932C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932C2"/>
    <w:rPr>
      <w:rFonts w:cs="Times New Roman"/>
    </w:rPr>
  </w:style>
  <w:style w:type="paragraph" w:styleId="Footer">
    <w:name w:val="footer"/>
    <w:basedOn w:val="Normal"/>
    <w:link w:val="FooterChar"/>
    <w:uiPriority w:val="99"/>
    <w:rsid w:val="003932C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932C2"/>
    <w:rPr>
      <w:rFonts w:cs="Times New Roman"/>
    </w:rPr>
  </w:style>
  <w:style w:type="paragraph" w:customStyle="1" w:styleId="msoaddress">
    <w:name w:val="msoaddress"/>
    <w:uiPriority w:val="99"/>
    <w:rsid w:val="0029464B"/>
    <w:pPr>
      <w:spacing w:line="264" w:lineRule="auto"/>
    </w:pPr>
    <w:rPr>
      <w:rFonts w:ascii="Lucida Sans" w:eastAsia="Times New Roman" w:hAnsi="Lucida Sans"/>
      <w:color w:val="000000"/>
      <w:kern w:val="28"/>
      <w:sz w:val="15"/>
      <w:szCs w:val="15"/>
    </w:rPr>
  </w:style>
</w:styles>
</file>

<file path=word/webSettings.xml><?xml version="1.0" encoding="utf-8"?>
<w:webSettings xmlns:r="http://schemas.openxmlformats.org/officeDocument/2006/relationships" xmlns:w="http://schemas.openxmlformats.org/wordprocessingml/2006/main">
  <w:divs>
    <w:div w:id="340815990">
      <w:bodyDiv w:val="1"/>
      <w:marLeft w:val="0"/>
      <w:marRight w:val="0"/>
      <w:marTop w:val="0"/>
      <w:marBottom w:val="0"/>
      <w:divBdr>
        <w:top w:val="none" w:sz="0" w:space="0" w:color="auto"/>
        <w:left w:val="none" w:sz="0" w:space="0" w:color="auto"/>
        <w:bottom w:val="none" w:sz="0" w:space="0" w:color="auto"/>
        <w:right w:val="none" w:sz="0" w:space="0" w:color="auto"/>
      </w:divBdr>
    </w:div>
    <w:div w:id="40418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emf"/><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 Id="rId2" Type="http://schemas.openxmlformats.org/officeDocument/2006/relationships/hyperlink" Target="http://www.timeandlearn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1259E-7CEA-7643-95E5-6F07DEC0F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1156</Words>
  <Characters>6593</Characters>
  <Application>Microsoft Macintosh Word</Application>
  <DocSecurity>0</DocSecurity>
  <Lines>54</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 Chan</dc:creator>
  <cp:lastModifiedBy>kstuart</cp:lastModifiedBy>
  <cp:revision>2</cp:revision>
  <cp:lastPrinted>2010-12-01T18:54:00Z</cp:lastPrinted>
  <dcterms:created xsi:type="dcterms:W3CDTF">2011-06-23T17:41:00Z</dcterms:created>
  <dcterms:modified xsi:type="dcterms:W3CDTF">2011-06-23T17:41:00Z</dcterms:modified>
</cp:coreProperties>
</file>