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 Risk Assessment Methodology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AIMS-RA-001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Risk Assessment Methodology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AI Risk Categories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The Risk Assessment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Risk Identification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Risk Analysis (Likelihood and Impact)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Risk Evaluation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7.4 Risk Treatment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Likelihood Scale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Impact Scale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Risk Matrix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Risk Acceptance Authority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AI-Specific Risk Sources (Annex C reference)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Reassessment Triggers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Clause Mapping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defines how Cloudax Ltd. identifies, analyses, evaluates, and treats AI-related risks across all AI systems within the AIMS scope. It implements Clause 6.1 of ISO/IEC 42001:2023 and supports the AI Risk Treatment Plan (AIMS-RTP-001) and the AI Risk Register (AI-REG-RISK-001).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Clause 6.1.1 General; Clause 6.1.2 AI risk assessment; Clause 6.1.3 AI risk treatment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Methodology applies to all AI risks within the AIMS scope as defined in AIMS-SCOPE-001. It addresses risks to Cloudax, to its customers, to end-users, and to society arising from AI systems Cloudax develops, operates, supplies, or uses.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AI risk: </w:t>
      </w:r>
      <w:r>
        <w:rPr>
          <w:rFonts w:eastAsia="Arial" w:cs="Arial"/>
          <w:color w:val="1A1A1A"/>
          <w:sz w:val="22"/>
          <w:szCs w:val="22"/>
        </w:rPr>
        <w:t>an effect of uncertainty on AI objectives, including AI-specific risks (bias, opacity, autonomy, emergent behaviour, drift) and risks where AI is a contributing factor.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Likelihood: </w:t>
      </w:r>
      <w:r>
        <w:rPr>
          <w:rFonts w:eastAsia="Arial" w:cs="Arial"/>
          <w:color w:val="1A1A1A"/>
          <w:sz w:val="22"/>
          <w:szCs w:val="22"/>
        </w:rPr>
        <w:t>the assessed probability of a risk materialising within a defined period.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Impact: </w:t>
      </w:r>
      <w:r>
        <w:rPr>
          <w:rFonts w:eastAsia="Arial" w:cs="Arial"/>
          <w:color w:val="1A1A1A"/>
          <w:sz w:val="22"/>
          <w:szCs w:val="22"/>
        </w:rPr>
        <w:t>the assessed severity of consequences if the risk materialises, considering effects on Cloudax, customers, end-users, and society.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risk is broader than information security risk: it includes ethical, fairness, transparency, and societal dimensions.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assessment is forward-looking and evidence-based, drawing on operational data, threat intelligence, and ethical analysis.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is owned by named individuals; risk is not a register entry without an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treatment is proportionate to risk — high-impact systems receive more rigorous treatment.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is reassessed at defined triggers, not just on a calendar.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Methodology, the Risk Register, and risk reporting; coordinates risk assessment activity.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technical risk identification and treatment options.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risks related to personal data and data subject impact.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owners: assigned to each risk; responsible for tracking treatment and reporting status.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accepts critical residual risk; receives risk reports.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AI Risk Categories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risks are categorised to ensure systematic coverage: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Performance and accuracy: model errors, drift, edge-case failures, accuracy degradation over time.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Bias and fairness: systematic disparate treatment of protected groups; demographic skew in training data; biased outputs.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and data protection: training-data leakage; re-identification of pseudonymised data; data subject rights infringement.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Security: model theft; adversarial inputs; prompt injection; jailbreaking; supply-chain risk in AI components.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Transparency and explainability: inability to explain AI decisions; opacity to users; misleading communication of AI capability.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Autonomy and oversight: insufficient human oversight; over-automation of high-stakes decisions.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Lawful and ethical: regulatory non-compliance; ethical breach; reputational harm.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Societal and environmental: aggregate effects on employment, equity, environment.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Operational: incident response readiness; operational continuity of AI services.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Third-party: dependency, behavioural change, exit risk associated with third-party AI providers.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The Risk Assessment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Risk Identification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Risks are identified through: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Workshops with engineering and product personnel.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outputs (each AISIA may surface new risks).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Threat intelligence and incident reports (Cloudax and external).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Annex C of ISO/IEC 42001:2023 (Section 12 below).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feedback and complaints.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Regulatory developments.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Risk Analysis (Likelihood and Impact)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identified risk is analysed for likelihood and impact using the scales in Sections 8 and 9. Analysis considers existing controls and assumes those controls are operating as designed (inherent risk) and as actually performing (residual risk).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Risk Evaluation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risk score (likelihood × impact) is mapped to the matrix in Section 10, producing a risk band of Low, Moderate, High, or Critical. The band drives the treatment requirement and the acceptance authority (Section 11).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7.4 Risk Treatment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For each evaluated risk, treatment options are considered: avoid, modify (reduce likelihood or impact through controls), share (transfer or insure), or retain (accept). Treatment is recorded in AIMS-RTP-001.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Likelihood Scale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4500"/>
        <w:gridCol w:w="2327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RATING</w:t>
            </w:r>
          </w:p>
        </w:tc>
        <w:tc>
          <w:tcPr>
            <w:tcW w:w="4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DESCRIPTOR</w:t>
            </w:r>
          </w:p>
        </w:tc>
        <w:tc>
          <w:tcPr>
            <w:tcW w:w="2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INDICATIVE FREQUENCY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 — Rare</w:t>
            </w:r>
          </w:p>
        </w:tc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Could happen but very unlikely.</w:t>
            </w:r>
          </w:p>
        </w:tc>
        <w:tc>
          <w:tcPr>
            <w:tcW w:w="2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Once in 10+ years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2 — Unlikely</w:t>
            </w:r>
          </w:p>
        </w:tc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Could happen at some point.</w:t>
            </w:r>
          </w:p>
        </w:tc>
        <w:tc>
          <w:tcPr>
            <w:tcW w:w="2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Once in 5–10 years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3 — Possible</w:t>
            </w:r>
          </w:p>
        </w:tc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Could happen this year.</w:t>
            </w:r>
          </w:p>
        </w:tc>
        <w:tc>
          <w:tcPr>
            <w:tcW w:w="2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Once in 1–5 years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4 — Likely</w:t>
            </w:r>
          </w:p>
        </w:tc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Will probably happen this year.</w:t>
            </w:r>
          </w:p>
        </w:tc>
        <w:tc>
          <w:tcPr>
            <w:tcW w:w="2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Once a year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5 — Almost certain</w:t>
            </w:r>
          </w:p>
        </w:tc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Expected to happen multiple times.</w:t>
            </w:r>
          </w:p>
        </w:tc>
        <w:tc>
          <w:tcPr>
            <w:tcW w:w="2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Multiple times a year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Impact Scale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2301"/>
        <w:gridCol w:w="45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RATING</w:t>
            </w:r>
          </w:p>
        </w:tc>
        <w:tc>
          <w:tcPr>
            <w:tcW w:w="23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DESCRIPTOR</w:t>
            </w:r>
          </w:p>
        </w:tc>
        <w:tc>
          <w:tcPr>
            <w:tcW w:w="45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EXAMPLE OUTCOMES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 — Insignificant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Negligible effect.</w:t>
            </w:r>
          </w:p>
        </w:tc>
        <w:tc>
          <w:tcPr>
            <w:tcW w:w="4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Minor inconvenience; no individual harm; no regulatory interest.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2 — Minor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Limited effect.</w:t>
            </w:r>
          </w:p>
        </w:tc>
        <w:tc>
          <w:tcPr>
            <w:tcW w:w="4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Localised customer dissatisfaction; minor accuracy issue; minor regulatory note.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3 — Moderate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Noticeable effect.</w:t>
            </w:r>
          </w:p>
        </w:tc>
        <w:tc>
          <w:tcPr>
            <w:tcW w:w="4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 escalation; biased output identified; regulator notification potentially required; small-scale data issue.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4 — Major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Significant effect.</w:t>
            </w:r>
          </w:p>
        </w:tc>
        <w:tc>
          <w:tcPr>
            <w:tcW w:w="4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customer harm; identified discrimination; ICO notification; significant accuracy or safety issue affecting many users.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5 — Severe</w:t>
            </w:r>
          </w:p>
        </w:tc>
        <w:tc>
          <w:tcPr>
            <w:tcW w:w="23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Extreme effect.</w:t>
            </w:r>
          </w:p>
        </w:tc>
        <w:tc>
          <w:tcPr>
            <w:tcW w:w="4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Widespread harm to individuals; systemic discrimination; regulatory enforcement action; existential customer or business impact.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Risk Matrix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likelihood × impact matrix produces four risk bands: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26"/>
        <w:gridCol w:w="1599"/>
        <w:gridCol w:w="1600"/>
        <w:gridCol w:w="1601"/>
        <w:gridCol w:w="1599"/>
        <w:gridCol w:w="1600"/>
      </w:tblGrid>
      <w:tr>
        <w:trPr>
          <w:tblHeader w:val="true"/>
        </w:trPr>
        <w:tc>
          <w:tcPr>
            <w:tcW w:w="10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L \ I</w:t>
            </w:r>
          </w:p>
        </w:tc>
        <w:tc>
          <w:tcPr>
            <w:tcW w:w="15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6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5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6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5</w:t>
            </w:r>
          </w:p>
        </w:tc>
      </w:tr>
      <w:tr>
        <w:trPr/>
        <w:tc>
          <w:tcPr>
            <w:tcW w:w="10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6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Critical</w:t>
            </w:r>
          </w:p>
        </w:tc>
      </w:tr>
      <w:tr>
        <w:trPr/>
        <w:tc>
          <w:tcPr>
            <w:tcW w:w="10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6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Critical</w:t>
            </w:r>
          </w:p>
        </w:tc>
      </w:tr>
      <w:tr>
        <w:trPr/>
        <w:tc>
          <w:tcPr>
            <w:tcW w:w="10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6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rPr/>
        <w:tc>
          <w:tcPr>
            <w:tcW w:w="10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6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rPr/>
        <w:tc>
          <w:tcPr>
            <w:tcW w:w="10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6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  <w:tc>
          <w:tcPr>
            <w:tcW w:w="15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  <w:tc>
          <w:tcPr>
            <w:tcW w:w="16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Mod</w:t>
            </w:r>
          </w:p>
        </w:tc>
      </w:tr>
    </w:tbl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Bands: Low (acceptable), Moderate (treatment plan), High (treatment required, ISM/AI Governance Lead acceptance), Critical (treatment required, CEO acceptance).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Risk Acceptance Authority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500"/>
        <w:gridCol w:w="4499"/>
        <w:gridCol w:w="3027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RISK BAND</w:t>
            </w:r>
          </w:p>
        </w:tc>
        <w:tc>
          <w:tcPr>
            <w:tcW w:w="4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ACCEPTANCE AUTHORITY</w:t>
            </w:r>
          </w:p>
        </w:tc>
        <w:tc>
          <w:tcPr>
            <w:tcW w:w="3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REVIEW CADENCE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Low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Risk owner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Annual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Moderate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Risk owner with AI Governance Lead awareness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Annual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High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Lead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Quarterly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Critical</w:t>
            </w:r>
          </w:p>
        </w:tc>
        <w:tc>
          <w:tcPr>
            <w:tcW w:w="4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Chief Executive Officer</w:t>
            </w:r>
          </w:p>
        </w:tc>
        <w:tc>
          <w:tcPr>
            <w:tcW w:w="3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Quarterly, plus reported to every management review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AI-Specific Risk Sources (Annex C reference)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Annex C of ISO/IEC 42001:2023 catalogues AI-specific risk sources. Cloudax’s assessment considers, at minimum: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Complexity of the AI environment, including foundation model dependencies.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Lack of transparency / explainability of outputs.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Level of automation and reduction of human oversight.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sources internal (data quality, model design choices, deployment context) and external (adversarial inputs, regulatory change, third-party behaviour).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 learning and post-deployment behaviour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Hardware issues (e.g. specialised AI accelerator dependency, sustainability).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Life cycle and stage transitions (development → production → evolution → retirement).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Technology readiness and maturity.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AI expertise.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Reassessment Triggers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Annual full risk assessment.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change to AI systems, third-party providers, or the regulatory environment.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incident with risk register implications.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AISIA identifying new risks.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or regulator feedback indicating risk.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AI Risk Register (AI-REG-RISK-001) holds all identified risks with their analysis, evaluation, treatment, and review history.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AI Risk Treatment Plan (AIMS-RTP-001) holds the planned treatment for each risk above the acceptance threshold.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Methodology is reviewed at least annually. Material changes are approved by the Chief Executive Officer and recorded in Annex B.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Clause Mapping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clauses of ISO/IEC 42001:2023. The authoritative AIMS scope and Annex A control selection are recorded in the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299"/>
        <w:gridCol w:w="2400"/>
        <w:gridCol w:w="53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CLAUSE</w:t>
            </w:r>
          </w:p>
        </w:tc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5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HOW THIS DOCUMENT GIVES EFFECT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6.1.1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General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4 establishes principles.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6.1.2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risk assessment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7 defines the assessment process.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6.1.3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risk treatment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7.4 and cross-reference to AIMS-RTP-001.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6.1.4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system impact assessment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Cross-referenced to AI-POL-004 and AI-PRO-002.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AIMS-RA-001 AI Risk Assessment Methodology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AIMS-RA-001 AI Risk Assessment Methodology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2026-04-13T08:56:39Z</dcterms:created>
  <dc:creator>David Stokes</dc:creator>
  <dc:description/>
  <dc:language>en-US</dc:language>
  <cp:lastModifiedBy>David Stokes</cp:lastModifiedBy>
  <dcterms:modified xsi:type="dcterms:W3CDTF">2026-04-13T12:29:39Z</dcterms:modified>
  <cp:revision>1</cp:revision>
  <dc:subject/>
  <dc:title>Cloudax AI Risk Assessment Methodology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