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AI Statement of Applicability</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AIMS-SOA-001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Statement of Applicability</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Methodology</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Cloudax Position on the AI Lifecycle</w:t>
      </w:r>
    </w:p>
    <w:p>
      <w:pPr>
        <w:pStyle w:val="Normal"/>
        <w:spacing w:before="40" w:after="40"/>
        <w:rPr/>
      </w:pPr>
      <w:r>
        <w:rPr>
          <w:rFonts w:eastAsia="Arial" w:cs="Arial"/>
          <w:color w:val="1A1A1A"/>
          <w:sz w:val="22"/>
          <w:szCs w:val="22"/>
        </w:rPr>
        <w:t>7. The Statement</w:t>
      </w:r>
    </w:p>
    <w:p>
      <w:pPr>
        <w:pStyle w:val="Normal"/>
        <w:spacing w:before="40" w:after="40"/>
        <w:rPr/>
      </w:pPr>
      <w:r>
        <w:rPr>
          <w:rFonts w:eastAsia="Arial" w:cs="Arial"/>
          <w:color w:val="1A1A1A"/>
          <w:sz w:val="22"/>
          <w:szCs w:val="22"/>
        </w:rPr>
        <w:t xml:space="preserve">   </w:t>
      </w:r>
      <w:r>
        <w:rPr>
          <w:rFonts w:eastAsia="Arial" w:cs="Arial"/>
          <w:color w:val="1A1A1A"/>
          <w:sz w:val="22"/>
          <w:szCs w:val="22"/>
        </w:rPr>
        <w:t>7.1 A.2 Policies related to AI</w:t>
      </w:r>
    </w:p>
    <w:p>
      <w:pPr>
        <w:pStyle w:val="Normal"/>
        <w:spacing w:before="40" w:after="40"/>
        <w:rPr/>
      </w:pPr>
      <w:r>
        <w:rPr>
          <w:rFonts w:eastAsia="Arial" w:cs="Arial"/>
          <w:color w:val="1A1A1A"/>
          <w:sz w:val="22"/>
          <w:szCs w:val="22"/>
        </w:rPr>
        <w:t xml:space="preserve">   </w:t>
      </w:r>
      <w:r>
        <w:rPr>
          <w:rFonts w:eastAsia="Arial" w:cs="Arial"/>
          <w:color w:val="1A1A1A"/>
          <w:sz w:val="22"/>
          <w:szCs w:val="22"/>
        </w:rPr>
        <w:t>7.2 A.3 Internal organization</w:t>
      </w:r>
    </w:p>
    <w:p>
      <w:pPr>
        <w:pStyle w:val="Normal"/>
        <w:spacing w:before="40" w:after="40"/>
        <w:rPr/>
      </w:pPr>
      <w:r>
        <w:rPr>
          <w:rFonts w:eastAsia="Arial" w:cs="Arial"/>
          <w:color w:val="1A1A1A"/>
          <w:sz w:val="22"/>
          <w:szCs w:val="22"/>
        </w:rPr>
        <w:t xml:space="preserve">   </w:t>
      </w:r>
      <w:r>
        <w:rPr>
          <w:rFonts w:eastAsia="Arial" w:cs="Arial"/>
          <w:color w:val="1A1A1A"/>
          <w:sz w:val="22"/>
          <w:szCs w:val="22"/>
        </w:rPr>
        <w:t>7.3 A.4 Resources for AI systems</w:t>
      </w:r>
    </w:p>
    <w:p>
      <w:pPr>
        <w:pStyle w:val="Normal"/>
        <w:spacing w:before="40" w:after="40"/>
        <w:rPr/>
      </w:pPr>
      <w:r>
        <w:rPr>
          <w:rFonts w:eastAsia="Arial" w:cs="Arial"/>
          <w:color w:val="1A1A1A"/>
          <w:sz w:val="22"/>
          <w:szCs w:val="22"/>
        </w:rPr>
        <w:t xml:space="preserve">   </w:t>
      </w:r>
      <w:r>
        <w:rPr>
          <w:rFonts w:eastAsia="Arial" w:cs="Arial"/>
          <w:color w:val="1A1A1A"/>
          <w:sz w:val="22"/>
          <w:szCs w:val="22"/>
        </w:rPr>
        <w:t>7.4 A.5 Assessing impacts of AI systems</w:t>
      </w:r>
    </w:p>
    <w:p>
      <w:pPr>
        <w:pStyle w:val="Normal"/>
        <w:spacing w:before="40" w:after="40"/>
        <w:rPr/>
      </w:pPr>
      <w:r>
        <w:rPr>
          <w:rFonts w:eastAsia="Arial" w:cs="Arial"/>
          <w:color w:val="1A1A1A"/>
          <w:sz w:val="22"/>
          <w:szCs w:val="22"/>
        </w:rPr>
        <w:t xml:space="preserve">   </w:t>
      </w:r>
      <w:r>
        <w:rPr>
          <w:rFonts w:eastAsia="Arial" w:cs="Arial"/>
          <w:color w:val="1A1A1A"/>
          <w:sz w:val="22"/>
          <w:szCs w:val="22"/>
        </w:rPr>
        <w:t>7.5 A.6 AI system life cycle</w:t>
      </w:r>
    </w:p>
    <w:p>
      <w:pPr>
        <w:pStyle w:val="Normal"/>
        <w:spacing w:before="40" w:after="40"/>
        <w:rPr/>
      </w:pPr>
      <w:r>
        <w:rPr>
          <w:rFonts w:eastAsia="Arial" w:cs="Arial"/>
          <w:color w:val="1A1A1A"/>
          <w:sz w:val="22"/>
          <w:szCs w:val="22"/>
        </w:rPr>
        <w:t xml:space="preserve">   </w:t>
      </w:r>
      <w:r>
        <w:rPr>
          <w:rFonts w:eastAsia="Arial" w:cs="Arial"/>
          <w:color w:val="1A1A1A"/>
          <w:sz w:val="22"/>
          <w:szCs w:val="22"/>
        </w:rPr>
        <w:t>7.6 A.7 Data for AI systems</w:t>
      </w:r>
    </w:p>
    <w:p>
      <w:pPr>
        <w:pStyle w:val="Normal"/>
        <w:spacing w:before="40" w:after="40"/>
        <w:rPr/>
      </w:pPr>
      <w:r>
        <w:rPr>
          <w:rFonts w:eastAsia="Arial" w:cs="Arial"/>
          <w:color w:val="1A1A1A"/>
          <w:sz w:val="22"/>
          <w:szCs w:val="22"/>
        </w:rPr>
        <w:t xml:space="preserve">   </w:t>
      </w:r>
      <w:r>
        <w:rPr>
          <w:rFonts w:eastAsia="Arial" w:cs="Arial"/>
          <w:color w:val="1A1A1A"/>
          <w:sz w:val="22"/>
          <w:szCs w:val="22"/>
        </w:rPr>
        <w:t>7.7 A.8 Information for interested parties of AI systems</w:t>
      </w:r>
    </w:p>
    <w:p>
      <w:pPr>
        <w:pStyle w:val="Normal"/>
        <w:spacing w:before="40" w:after="40"/>
        <w:rPr/>
      </w:pPr>
      <w:r>
        <w:rPr>
          <w:rFonts w:eastAsia="Arial" w:cs="Arial"/>
          <w:color w:val="1A1A1A"/>
          <w:sz w:val="22"/>
          <w:szCs w:val="22"/>
        </w:rPr>
        <w:t xml:space="preserve">   </w:t>
      </w:r>
      <w:r>
        <w:rPr>
          <w:rFonts w:eastAsia="Arial" w:cs="Arial"/>
          <w:color w:val="1A1A1A"/>
          <w:sz w:val="22"/>
          <w:szCs w:val="22"/>
        </w:rPr>
        <w:t>7.8 A.9 Use of AI systems</w:t>
      </w:r>
    </w:p>
    <w:p>
      <w:pPr>
        <w:pStyle w:val="Normal"/>
        <w:spacing w:before="40" w:after="40"/>
        <w:rPr/>
      </w:pPr>
      <w:r>
        <w:rPr>
          <w:rFonts w:eastAsia="Arial" w:cs="Arial"/>
          <w:color w:val="1A1A1A"/>
          <w:sz w:val="22"/>
          <w:szCs w:val="22"/>
        </w:rPr>
        <w:t xml:space="preserve">   </w:t>
      </w:r>
      <w:r>
        <w:rPr>
          <w:rFonts w:eastAsia="Arial" w:cs="Arial"/>
          <w:color w:val="1A1A1A"/>
          <w:sz w:val="22"/>
          <w:szCs w:val="22"/>
        </w:rPr>
        <w:t>7.9 A.10 Third-party and customer relationships</w:t>
      </w:r>
    </w:p>
    <w:p>
      <w:pPr>
        <w:pStyle w:val="Normal"/>
        <w:spacing w:before="40" w:after="40"/>
        <w:rPr/>
      </w:pPr>
      <w:r>
        <w:rPr>
          <w:rFonts w:eastAsia="Arial" w:cs="Arial"/>
          <w:color w:val="1A1A1A"/>
          <w:sz w:val="22"/>
          <w:szCs w:val="22"/>
        </w:rPr>
        <w:t>8. Summary</w:t>
      </w:r>
    </w:p>
    <w:p>
      <w:pPr>
        <w:pStyle w:val="Normal"/>
        <w:spacing w:before="40" w:after="40"/>
        <w:rPr/>
      </w:pPr>
      <w:r>
        <w:rPr>
          <w:rFonts w:eastAsia="Arial" w:cs="Arial"/>
          <w:color w:val="1A1A1A"/>
          <w:sz w:val="22"/>
          <w:szCs w:val="22"/>
        </w:rPr>
        <w:t>9. Approval</w:t>
      </w:r>
    </w:p>
    <w:p>
      <w:pPr>
        <w:pStyle w:val="Normal"/>
        <w:spacing w:before="40" w:after="40"/>
        <w:rPr/>
      </w:pPr>
      <w:r>
        <w:rPr>
          <w:rFonts w:eastAsia="Arial" w:cs="Arial"/>
          <w:color w:val="1A1A1A"/>
          <w:sz w:val="22"/>
          <w:szCs w:val="22"/>
        </w:rPr>
        <w:t>10.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AI Statement of Applicability (SoA) records the applicability of each control in Annex A of ISO/IEC 42001:2023 to Cloudax Ltd.'s AI Management System (AIMS), the justification for inclusion or exclusion of each control, and the document(s) that implement applicable controls.</w:t>
      </w:r>
    </w:p>
    <w:p>
      <w:pPr>
        <w:pStyle w:val="Normal"/>
        <w:spacing w:lineRule="exact" w:line="300" w:before="80" w:after="120"/>
        <w:rPr/>
      </w:pPr>
      <w:r>
        <w:rPr>
          <w:rFonts w:eastAsia="Arial" w:cs="Arial"/>
          <w:color w:val="1A1A1A"/>
          <w:sz w:val="22"/>
          <w:szCs w:val="22"/>
        </w:rPr>
        <w:t>This SoA is a mandatory output of the AI risk treatment process under Clause 6.1.3 of ISO/IEC 42001:2023 and is the authoritative reference for determining which AIMS controls Cloudax operates.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6.1.3 AI risk treatment</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SoA covers all AI systems developed, operated, or used by Cloudax within the AIMS scope as defined in AIMS-SCOPE-001. The scope includes the Cloudax conversational AI platform (RentSense, RepairSense, and any other AI features), AI capabilities provided to customers, and AI tools used internally by Cloudax personnel.</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system: </w:t>
      </w:r>
      <w:r>
        <w:rPr>
          <w:rFonts w:eastAsia="Arial" w:cs="Arial"/>
          <w:color w:val="1A1A1A"/>
          <w:sz w:val="22"/>
          <w:szCs w:val="22"/>
        </w:rPr>
        <w:t>a system that infers, from the input it receives, how to generate outputs such as predictions, content, recommendations, or decisions that can influence physical or virtual environments (ISO/IEC 22989:2022).</w:t>
      </w:r>
    </w:p>
    <w:p>
      <w:pPr>
        <w:pStyle w:val="ListParagraph"/>
        <w:numPr>
          <w:ilvl w:val="0"/>
          <w:numId w:val="1"/>
        </w:numPr>
        <w:spacing w:lineRule="exact" w:line="280" w:before="40" w:after="40"/>
        <w:rPr/>
      </w:pPr>
      <w:r>
        <w:rPr>
          <w:rFonts w:eastAsia="Arial" w:cs="Arial"/>
          <w:b/>
          <w:bCs/>
          <w:color w:val="1A1A1A"/>
          <w:sz w:val="22"/>
          <w:szCs w:val="22"/>
        </w:rPr>
        <w:t xml:space="preserve">Applicability: </w:t>
      </w:r>
      <w:r>
        <w:rPr>
          <w:rFonts w:eastAsia="Arial" w:cs="Arial"/>
          <w:color w:val="1A1A1A"/>
          <w:sz w:val="22"/>
          <w:szCs w:val="22"/>
        </w:rPr>
        <w:t>the determination that a control is required, given the AI risks and the context of Cloudax's AI systems.</w:t>
      </w:r>
    </w:p>
    <w:p>
      <w:pPr>
        <w:pStyle w:val="ListParagraph"/>
        <w:numPr>
          <w:ilvl w:val="0"/>
          <w:numId w:val="1"/>
        </w:numPr>
        <w:spacing w:lineRule="exact" w:line="280" w:before="40" w:after="40"/>
        <w:rPr/>
      </w:pPr>
      <w:r>
        <w:rPr>
          <w:rFonts w:eastAsia="Arial" w:cs="Arial"/>
          <w:b/>
          <w:bCs/>
          <w:color w:val="1A1A1A"/>
          <w:sz w:val="22"/>
          <w:szCs w:val="22"/>
        </w:rPr>
        <w:t xml:space="preserve">AISIA: </w:t>
      </w:r>
      <w:r>
        <w:rPr>
          <w:rFonts w:eastAsia="Arial" w:cs="Arial"/>
          <w:color w:val="1A1A1A"/>
          <w:sz w:val="22"/>
          <w:szCs w:val="22"/>
        </w:rPr>
        <w:t>AI System Impact Assessment — the structured assessment of how an AI system may affect individuals, groups, and society.</w:t>
      </w:r>
    </w:p>
    <w:p>
      <w:pPr>
        <w:pStyle w:val="Heading1"/>
        <w:spacing w:before="360" w:after="180"/>
        <w:rPr/>
      </w:pPr>
      <w:r>
        <w:rPr>
          <w:rFonts w:eastAsia="Arial" w:cs="Arial" w:ascii="Arial" w:hAnsi="Arial"/>
          <w:b/>
          <w:bCs/>
          <w:color w:val="0000FF"/>
          <w:sz w:val="36"/>
          <w:szCs w:val="36"/>
        </w:rPr>
        <w:t>4. Methodology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Annex A control was evaluated against:</w:t>
      </w:r>
    </w:p>
    <w:p>
      <w:pPr>
        <w:pStyle w:val="ListParagraph"/>
        <w:numPr>
          <w:ilvl w:val="0"/>
          <w:numId w:val="1"/>
        </w:numPr>
        <w:spacing w:lineRule="exact" w:line="280" w:before="40" w:after="40"/>
        <w:rPr/>
      </w:pPr>
      <w:r>
        <w:rPr>
          <w:rFonts w:eastAsia="Arial" w:cs="Arial"/>
          <w:color w:val="1A1A1A"/>
          <w:sz w:val="22"/>
          <w:szCs w:val="22"/>
        </w:rPr>
        <w:t>The AI risks identified in the AI Risk Register (AI-REG-RISK-001) under the methodology in AIMS-RA-001.</w:t>
      </w:r>
    </w:p>
    <w:p>
      <w:pPr>
        <w:pStyle w:val="ListParagraph"/>
        <w:numPr>
          <w:ilvl w:val="0"/>
          <w:numId w:val="1"/>
        </w:numPr>
        <w:spacing w:lineRule="exact" w:line="280" w:before="40" w:after="40"/>
        <w:rPr/>
      </w:pPr>
      <w:r>
        <w:rPr>
          <w:rFonts w:eastAsia="Arial" w:cs="Arial"/>
          <w:color w:val="1A1A1A"/>
          <w:sz w:val="22"/>
          <w:szCs w:val="22"/>
        </w:rPr>
        <w:t>Cloudax's role in the AI lifecycle (developer, operator, supplier to customers; see Section 6).</w:t>
      </w:r>
    </w:p>
    <w:p>
      <w:pPr>
        <w:pStyle w:val="ListParagraph"/>
        <w:numPr>
          <w:ilvl w:val="0"/>
          <w:numId w:val="1"/>
        </w:numPr>
        <w:spacing w:lineRule="exact" w:line="280" w:before="40" w:after="40"/>
        <w:rPr/>
      </w:pPr>
      <w:r>
        <w:rPr>
          <w:rFonts w:eastAsia="Arial" w:cs="Arial"/>
          <w:color w:val="1A1A1A"/>
          <w:sz w:val="22"/>
          <w:szCs w:val="22"/>
        </w:rPr>
        <w:t>Applicable legal, regulatory, contractual, and ethical obligations.</w:t>
      </w:r>
    </w:p>
    <w:p>
      <w:pPr>
        <w:pStyle w:val="ListParagraph"/>
        <w:numPr>
          <w:ilvl w:val="0"/>
          <w:numId w:val="1"/>
        </w:numPr>
        <w:spacing w:lineRule="exact" w:line="280" w:before="40" w:after="40"/>
        <w:rPr/>
      </w:pPr>
      <w:r>
        <w:rPr>
          <w:rFonts w:eastAsia="Arial" w:cs="Arial"/>
          <w:color w:val="1A1A1A"/>
          <w:sz w:val="22"/>
          <w:szCs w:val="22"/>
        </w:rPr>
        <w:t>The size and operating model of Cloudax (six employees, hybrid working, fully cloud-native).</w:t>
      </w:r>
    </w:p>
    <w:p>
      <w:pPr>
        <w:pStyle w:val="Normal"/>
        <w:spacing w:lineRule="exact" w:line="300" w:before="80" w:after="120"/>
        <w:rPr/>
      </w:pPr>
      <w:r>
        <w:rPr>
          <w:rFonts w:eastAsia="Arial" w:cs="Arial"/>
          <w:color w:val="1A1A1A"/>
          <w:sz w:val="22"/>
          <w:szCs w:val="22"/>
        </w:rPr>
        <w:t>A control is marked applicable if it addresses an identified risk or obligation, regardless of whether the risk is high or low. Controls are excluded only where they are clearly not relevant to Cloudax's role or operating context, with reasoned justification.</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Governance Lead: owns this SoA; reviews entries; submits for approval.</w:t>
      </w:r>
    </w:p>
    <w:p>
      <w:pPr>
        <w:pStyle w:val="ListParagraph"/>
        <w:numPr>
          <w:ilvl w:val="0"/>
          <w:numId w:val="1"/>
        </w:numPr>
        <w:spacing w:lineRule="exact" w:line="280" w:before="40" w:after="40"/>
        <w:rPr/>
      </w:pPr>
      <w:r>
        <w:rPr>
          <w:rFonts w:eastAsia="Arial" w:cs="Arial"/>
          <w:color w:val="1A1A1A"/>
          <w:sz w:val="22"/>
          <w:szCs w:val="22"/>
        </w:rPr>
        <w:t>Chief Technology Officer: contributes technical input on lifecycle, data, and platform controls.</w:t>
      </w:r>
    </w:p>
    <w:p>
      <w:pPr>
        <w:pStyle w:val="ListParagraph"/>
        <w:numPr>
          <w:ilvl w:val="0"/>
          <w:numId w:val="1"/>
        </w:numPr>
        <w:spacing w:lineRule="exact" w:line="280" w:before="40" w:after="40"/>
        <w:rPr/>
      </w:pPr>
      <w:r>
        <w:rPr>
          <w:rFonts w:eastAsia="Arial" w:cs="Arial"/>
          <w:color w:val="1A1A1A"/>
          <w:sz w:val="22"/>
          <w:szCs w:val="22"/>
        </w:rPr>
        <w:t>Privacy Lead: contributes input on impact assessment, data, and transparency controls.</w:t>
      </w:r>
    </w:p>
    <w:p>
      <w:pPr>
        <w:pStyle w:val="ListParagraph"/>
        <w:numPr>
          <w:ilvl w:val="0"/>
          <w:numId w:val="1"/>
        </w:numPr>
        <w:spacing w:lineRule="exact" w:line="280" w:before="40" w:after="40"/>
        <w:rPr/>
      </w:pPr>
      <w:r>
        <w:rPr>
          <w:rFonts w:eastAsia="Arial" w:cs="Arial"/>
          <w:color w:val="1A1A1A"/>
          <w:sz w:val="22"/>
          <w:szCs w:val="22"/>
        </w:rPr>
        <w:t>Chief Executive Officer: approves this SoA on issue and on material revision.</w:t>
      </w:r>
    </w:p>
    <w:p>
      <w:pPr>
        <w:pStyle w:val="ListParagraph"/>
        <w:numPr>
          <w:ilvl w:val="0"/>
          <w:numId w:val="1"/>
        </w:numPr>
        <w:spacing w:lineRule="exact" w:line="280" w:before="40" w:after="40"/>
        <w:rPr/>
      </w:pPr>
      <w:r>
        <w:rPr>
          <w:rFonts w:eastAsia="Arial" w:cs="Arial"/>
          <w:color w:val="1A1A1A"/>
          <w:sz w:val="22"/>
          <w:szCs w:val="22"/>
        </w:rPr>
        <w:t>Internal auditor: reviews SoA against operational reality during the audit programme (AI-PROG-AUDIT-001).</w:t>
      </w:r>
    </w:p>
    <w:p>
      <w:pPr>
        <w:pStyle w:val="Heading1"/>
        <w:spacing w:before="360" w:after="180"/>
        <w:rPr/>
      </w:pPr>
      <w:r>
        <w:rPr>
          <w:rFonts w:eastAsia="Arial" w:cs="Arial" w:ascii="Arial" w:hAnsi="Arial"/>
          <w:b/>
          <w:bCs/>
          <w:color w:val="0000FF"/>
          <w:sz w:val="36"/>
          <w:szCs w:val="36"/>
        </w:rPr>
        <w:t>6. Cloudax Position on the AI Lifecycle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across multiple roles in the AI lifecycle, all of which inform the applicability assessment:</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2999"/>
        <w:gridCol w:w="5501"/>
        <w:gridCol w:w="5900"/>
      </w:tblGrid>
      <w:tr>
        <w:trPr>
          <w:tblHeader w:val="true"/>
        </w:trPr>
        <w:tc>
          <w:tcPr>
            <w:tcW w:w="2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ROLE</w:t>
            </w:r>
          </w:p>
        </w:tc>
        <w:tc>
          <w:tcPr>
            <w:tcW w:w="55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59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KEY IMPLICATIONS</w:t>
            </w:r>
          </w:p>
        </w:tc>
      </w:tr>
      <w:tr>
        <w:trPr/>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Developer</w:t>
            </w:r>
          </w:p>
        </w:tc>
        <w:tc>
          <w:tcPr>
            <w:tcW w:w="5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designs, develops, trains, and validates the AI components of its conversational AI platform.</w:t>
            </w:r>
          </w:p>
        </w:tc>
        <w:tc>
          <w:tcPr>
            <w:tcW w:w="5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Full applicability of A.6 (life cycle) and A.7 (data) controls.</w:t>
            </w:r>
          </w:p>
        </w:tc>
      </w:tr>
      <w:tr>
        <w:trPr/>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Operator</w:t>
            </w:r>
          </w:p>
        </w:tc>
        <w:tc>
          <w:tcPr>
            <w:tcW w:w="5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Cloudax operates the AI systems in production on its own infrastructure (with cloud and third-party providers).</w:t>
            </w:r>
          </w:p>
        </w:tc>
        <w:tc>
          <w:tcPr>
            <w:tcW w:w="5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Full applicability of A.6.2.6 (operation and monitoring), A.8 (transparency to interested parties).</w:t>
            </w:r>
          </w:p>
        </w:tc>
      </w:tr>
      <w:tr>
        <w:trPr/>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User (internal)</w:t>
            </w:r>
          </w:p>
        </w:tc>
        <w:tc>
          <w:tcPr>
            <w:tcW w:w="5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personnel use third-party AI tools (e.g. coding assistants, document assistants) for internal work.</w:t>
            </w:r>
          </w:p>
        </w:tc>
        <w:tc>
          <w:tcPr>
            <w:tcW w:w="5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Applicability of A.9 (use) controls extends to internal AI use.</w:t>
            </w:r>
          </w:p>
        </w:tc>
      </w:tr>
      <w:tr>
        <w:trPr/>
        <w:tc>
          <w:tcPr>
            <w:tcW w:w="2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 Supplier (to customers)</w:t>
            </w:r>
          </w:p>
        </w:tc>
        <w:tc>
          <w:tcPr>
            <w:tcW w:w="55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Cloudax provides AI capabilities to its customers under contract; customers integrate Cloudax outputs into their operations.</w:t>
            </w:r>
          </w:p>
        </w:tc>
        <w:tc>
          <w:tcPr>
            <w:tcW w:w="59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Full applicability of A.10 (third-party and customer relationships).</w:t>
            </w:r>
          </w:p>
        </w:tc>
      </w:tr>
      <w:tr>
        <w:trPr/>
        <w:tc>
          <w:tcPr>
            <w:tcW w:w="2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 Customer (of providers)</w:t>
            </w:r>
          </w:p>
        </w:tc>
        <w:tc>
          <w:tcPr>
            <w:tcW w:w="55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consumes AI capabilities (e.g. LLMs, ASR, TTS) from third-party providers as part of its platform.</w:t>
            </w:r>
          </w:p>
        </w:tc>
        <w:tc>
          <w:tcPr>
            <w:tcW w:w="59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is a customer of upstream AI providers; A.10.3 applies.</w:t>
            </w:r>
          </w:p>
        </w:tc>
      </w:tr>
    </w:tbl>
    <w:p>
      <w:pPr>
        <w:pStyle w:val="Normal"/>
        <w:spacing w:lineRule="exact" w:line="300" w:before="80" w:after="120"/>
        <w:rPr/>
      </w:pPr>
      <w:r>
        <w:rPr>
          <w:rFonts w:eastAsia="Arial" w:cs="Arial"/>
          <w:color w:val="1A1A1A"/>
          <w:sz w:val="22"/>
          <w:szCs w:val="22"/>
        </w:rPr>
        <w:t>Because Cloudax operates across all five lifecycle positions, all 9 control objectives in Annex A are applicable. Within each objective, every control is assessed individually below.</w:t>
      </w:r>
    </w:p>
    <w:p>
      <w:pPr>
        <w:pStyle w:val="Heading1"/>
        <w:spacing w:before="360" w:after="180"/>
        <w:rPr/>
      </w:pPr>
      <w:r>
        <w:rPr>
          <w:rFonts w:eastAsia="Arial" w:cs="Arial" w:ascii="Arial" w:hAnsi="Arial"/>
          <w:b/>
          <w:bCs/>
          <w:color w:val="0000FF"/>
          <w:sz w:val="36"/>
          <w:szCs w:val="36"/>
        </w:rPr>
        <w:t>7. The Statement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full Annex A applicability assessment follows. Status “Yes” means the control is applicable and implemented; “No” means excluded (with justification); “Yes (planned)” means applicable but implementation in progress.</w:t>
      </w:r>
    </w:p>
    <w:p>
      <w:pPr>
        <w:pStyle w:val="Heading2"/>
        <w:spacing w:before="280" w:after="140"/>
        <w:rPr/>
      </w:pPr>
      <w:r>
        <w:rPr>
          <w:rFonts w:eastAsia="Arial" w:cs="Arial" w:ascii="Arial" w:hAnsi="Arial"/>
          <w:b/>
          <w:bCs/>
          <w:color w:val="0000FF"/>
          <w:sz w:val="28"/>
          <w:szCs w:val="28"/>
        </w:rPr>
        <w:t>7.1 A.2 Policies related to AI</w:t>
      </w:r>
    </w:p>
    <w:p>
      <w:pPr>
        <w:pStyle w:val="Normal"/>
        <w:spacing w:lineRule="exact" w:line="300" w:before="80" w:after="120"/>
        <w:rPr/>
      </w:pPr>
      <w:r>
        <w:rPr>
          <w:rFonts w:eastAsia="Arial" w:cs="Arial"/>
          <w:color w:val="1A1A1A"/>
          <w:sz w:val="22"/>
          <w:szCs w:val="22"/>
        </w:rPr>
        <w:t>Objective: To provide management direction and support for AI systems according to business requirements.</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A.2.2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is core to Cloudax's product and operations. AI policy is foundational.</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 Policy</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A.2.3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Alignment with other organizational policies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policy must align with the existing ISMS, Privacy Policy, and Acceptable Use.</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AI-POL-001 §2; cross-references to POL-001, POL-010</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A.2.4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Review of the AI policy</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Annual review and on material change of AI landscape, regulation, or business.</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§15; AI-PROG-COMP-001</w:t>
            </w:r>
          </w:p>
        </w:tc>
      </w:tr>
    </w:tbl>
    <w:p>
      <w:pPr>
        <w:pStyle w:val="Heading2"/>
        <w:spacing w:before="280" w:after="140"/>
        <w:rPr/>
      </w:pPr>
      <w:r>
        <w:rPr>
          <w:rFonts w:eastAsia="Arial" w:cs="Arial" w:ascii="Arial" w:hAnsi="Arial"/>
          <w:b/>
          <w:bCs/>
          <w:color w:val="0000FF"/>
          <w:sz w:val="28"/>
          <w:szCs w:val="28"/>
        </w:rPr>
        <w:t>7.2 A.3 Internal organization</w:t>
      </w:r>
    </w:p>
    <w:p>
      <w:pPr>
        <w:pStyle w:val="Normal"/>
        <w:spacing w:lineRule="exact" w:line="300" w:before="80" w:after="120"/>
        <w:rPr/>
      </w:pPr>
      <w:r>
        <w:rPr>
          <w:rFonts w:eastAsia="Arial" w:cs="Arial"/>
          <w:color w:val="1A1A1A"/>
          <w:sz w:val="22"/>
          <w:szCs w:val="22"/>
        </w:rPr>
        <w:t>Objective: To establish accountability within the organization for the responsible development, use, and operation of AI systems.</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A.3.2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roles and responsibilities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Defined accountability essential for a small team operating an AI product.</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AI-POL-002; AI-MGT-RACI-001</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A.3.3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Reporting of concerns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Personnel must have a safe channel to raise AI-related concerns.</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AI-POL-002 §8; cross-reference to PRO-027</w:t>
            </w:r>
          </w:p>
        </w:tc>
      </w:tr>
    </w:tbl>
    <w:p>
      <w:pPr>
        <w:pStyle w:val="Heading2"/>
        <w:spacing w:before="280" w:after="140"/>
        <w:rPr/>
      </w:pPr>
      <w:r>
        <w:rPr>
          <w:rFonts w:eastAsia="Arial" w:cs="Arial" w:ascii="Arial" w:hAnsi="Arial"/>
          <w:b/>
          <w:bCs/>
          <w:color w:val="0000FF"/>
          <w:sz w:val="28"/>
          <w:szCs w:val="28"/>
        </w:rPr>
        <w:t>7.3 A.4 Resources for AI systems</w:t>
      </w:r>
    </w:p>
    <w:p>
      <w:pPr>
        <w:pStyle w:val="Normal"/>
        <w:spacing w:lineRule="exact" w:line="300" w:before="80" w:after="120"/>
        <w:rPr/>
      </w:pPr>
      <w:r>
        <w:rPr>
          <w:rFonts w:eastAsia="Arial" w:cs="Arial"/>
          <w:color w:val="1A1A1A"/>
          <w:sz w:val="22"/>
          <w:szCs w:val="22"/>
        </w:rPr>
        <w:t>Objective: To ensure the organization accounts for the resources (data, tooling, system, computing, human) of the AI system to fully understand and address risks and impacts.</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A.4.2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Resource documentation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Inventory of all AI systems is the foundation of governance.</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AI-POL-003; AI-REG-INV-001</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A.4.3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Data resources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Customer voice/transcript data and training datasets are core resources.</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AI-POL-006; AI-REG-DATA-001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A.4.4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Tooling resources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Tooling for AI development (frameworks, libraries, MLOps) must be inventoried.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AI-POL-003 §6; AI-REG-INV-001</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A.4.5</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System and computing resources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Compute for inference and training is significant; documented.</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AI-POL-003 §7; AI-REG-INV-001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A.4.6</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Human resources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competence requirements documented for engineering and governance roles.</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AI-POL-003 §8; AI-PROG-TRAIN-001</w:t>
            </w:r>
          </w:p>
        </w:tc>
      </w:tr>
    </w:tbl>
    <w:p>
      <w:pPr>
        <w:pStyle w:val="Heading2"/>
        <w:spacing w:before="280" w:after="140"/>
        <w:rPr/>
      </w:pPr>
      <w:r>
        <w:rPr>
          <w:rFonts w:eastAsia="Arial" w:cs="Arial" w:ascii="Arial" w:hAnsi="Arial"/>
          <w:b/>
          <w:bCs/>
          <w:color w:val="0000FF"/>
          <w:sz w:val="28"/>
          <w:szCs w:val="28"/>
        </w:rPr>
        <w:t>7.4 A.5 Assessing impacts of AI systems</w:t>
      </w:r>
    </w:p>
    <w:p>
      <w:pPr>
        <w:pStyle w:val="Normal"/>
        <w:spacing w:lineRule="exact" w:line="300" w:before="80" w:after="120"/>
        <w:rPr/>
      </w:pPr>
      <w:r>
        <w:rPr>
          <w:rFonts w:eastAsia="Arial" w:cs="Arial"/>
          <w:color w:val="1A1A1A"/>
          <w:sz w:val="22"/>
          <w:szCs w:val="22"/>
        </w:rPr>
        <w:t>Objective: To assess AI system impacts to individuals, groups of individuals, and societies affected by the AI system throughout its life cycle.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A.5.2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impact assessment process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AISIA process is mandatory under both ISO 42001 and customer-facing accountability.</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AI-POL-004; AI-PRO-002</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A.5.3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Documentation of AI system impact assessments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AISIA documentation retained for every assessed AI system.</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AI-PRO-002 §10; AI-REG-AISIA-001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A.5.4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Assessing AI system impact on individuals or groups of individuals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Conversational AI affects individuals (callers, customers' end-users); explicit assessment required.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AI-PRO-002 §6</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A.5.5</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Assessing societal impacts of AI systems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Aggregate societal effects (employment, equity in customer service access) considered.</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AI-PRO-002 §7</w:t>
            </w:r>
          </w:p>
        </w:tc>
      </w:tr>
    </w:tbl>
    <w:p>
      <w:pPr>
        <w:pStyle w:val="Heading2"/>
        <w:spacing w:before="280" w:after="140"/>
        <w:rPr/>
      </w:pPr>
      <w:r>
        <w:rPr>
          <w:rFonts w:eastAsia="Arial" w:cs="Arial" w:ascii="Arial" w:hAnsi="Arial"/>
          <w:b/>
          <w:bCs/>
          <w:color w:val="0000FF"/>
          <w:sz w:val="28"/>
          <w:szCs w:val="28"/>
        </w:rPr>
        <w:t>7.5 A.6 AI system life cycle</w:t>
      </w:r>
    </w:p>
    <w:p>
      <w:pPr>
        <w:pStyle w:val="Normal"/>
        <w:spacing w:lineRule="exact" w:line="300" w:before="80" w:after="120"/>
        <w:rPr/>
      </w:pPr>
      <w:r>
        <w:rPr>
          <w:rFonts w:eastAsia="Arial" w:cs="Arial"/>
          <w:color w:val="1A1A1A"/>
          <w:sz w:val="22"/>
          <w:szCs w:val="22"/>
        </w:rPr>
        <w:t>Objective: To define criteria and requirements for each stage of the AI system life cycle.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A.6.1.2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Objectives for responsible development of AI system</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Cloudax is a developer of AI; objectives for responsible development are core.</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§6</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A.6.1.3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Processes for responsible design and development of AI systems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Documented design and development processes for the Cloudax platform.</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AI-POL-005; AI-PRO-001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A.6.2.2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requirements and specification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Requirements specifications recorded for each AI feature.</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AI-PRO-001 §6</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A.6.2.3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Documentation of AI system design and development</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Design and development decisions documented.</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AI-PRO-001 §7</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A.6.2.4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verification and validation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Verification (built right) and validation (works in real conditions) recorded.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AI-PRO-001 §8</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A.6.2.5</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system deployment</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Deployment processes integrated with platform change management.</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AI-PRO-001 §9; cross-reference to POL-025 Change Management</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A.6.2.6</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operation and monitoring</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Operational monitoring of AI behaviour (drift, bias, performance) in production.</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§10; AI-PRO-001 §10</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A.6.2.7</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system technical documentation</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Technical documentation supporting users and auditors.</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AI-PRO-001 §11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A.6.2.8</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event logs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Event logs for AI inference, decisions, and notable events.</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AI-POL-005 §11; cross-reference to POL-019 Logging Policy</w:t>
            </w:r>
          </w:p>
        </w:tc>
      </w:tr>
    </w:tbl>
    <w:p>
      <w:pPr>
        <w:pStyle w:val="Heading2"/>
        <w:spacing w:before="280" w:after="140"/>
        <w:rPr/>
      </w:pPr>
      <w:r>
        <w:rPr>
          <w:rFonts w:eastAsia="Arial" w:cs="Arial" w:ascii="Arial" w:hAnsi="Arial"/>
          <w:b/>
          <w:bCs/>
          <w:color w:val="0000FF"/>
          <w:sz w:val="28"/>
          <w:szCs w:val="28"/>
        </w:rPr>
        <w:t>7.6 A.7 Data for AI systems</w:t>
      </w:r>
    </w:p>
    <w:p>
      <w:pPr>
        <w:pStyle w:val="Normal"/>
        <w:spacing w:lineRule="exact" w:line="300" w:before="80" w:after="120"/>
        <w:rPr/>
      </w:pPr>
      <w:r>
        <w:rPr>
          <w:rFonts w:eastAsia="Arial" w:cs="Arial"/>
          <w:color w:val="1A1A1A"/>
          <w:sz w:val="22"/>
          <w:szCs w:val="22"/>
        </w:rPr>
        <w:t>Objective: To ensure that the organization understands the role and impacts of data in AI systems throughout their life cycle.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A.7.2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for development and enhancement of AI systems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used in development/enhancement — training, evaluation, fine-tuning — controlled.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AI-POL-006; AI-PRO-003</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A.7.3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Acquisition of data</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Data acquisition (customer, public, synthetic) governed by acquisition principles.</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AI-PRO-003 §6</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A.7.4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Quality of data for AI systems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quality (accuracy, completeness, representativeness) assessed.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AI-PRO-003 §7</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A.7.5</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Data provenance</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Provenance and lineage tracked from source to training set to model.</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AI-PRO-003 §8; AI-REG-DATA-001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A.7.6</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Data preparation</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Preparation steps (cleaning, labelling, augmentation) documented.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AI-PRO-003 §9</w:t>
            </w:r>
          </w:p>
        </w:tc>
      </w:tr>
    </w:tbl>
    <w:p>
      <w:pPr>
        <w:pStyle w:val="Heading2"/>
        <w:spacing w:before="280" w:after="140"/>
        <w:rPr/>
      </w:pPr>
      <w:r>
        <w:rPr>
          <w:rFonts w:eastAsia="Arial" w:cs="Arial" w:ascii="Arial" w:hAnsi="Arial"/>
          <w:b/>
          <w:bCs/>
          <w:color w:val="0000FF"/>
          <w:sz w:val="28"/>
          <w:szCs w:val="28"/>
        </w:rPr>
        <w:t>7.7 A.8 Information for interested parties of AI systems</w:t>
      </w:r>
    </w:p>
    <w:p>
      <w:pPr>
        <w:pStyle w:val="Normal"/>
        <w:spacing w:lineRule="exact" w:line="300" w:before="80" w:after="120"/>
        <w:rPr/>
      </w:pPr>
      <w:r>
        <w:rPr>
          <w:rFonts w:eastAsia="Arial" w:cs="Arial"/>
          <w:color w:val="1A1A1A"/>
          <w:sz w:val="22"/>
          <w:szCs w:val="22"/>
        </w:rPr>
        <w:t>Objective: To ensure that relevant interested parties have the necessary information to understand and assess the AI system, its potential risks and impacts, and its appropriate use.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A.8.2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System documentation and information for users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User documentation explains capabilities, limitations, intended use.</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AI-POL-007 §6</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A.8.3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External reporting</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External reporting channels (ICO, regulators, customers) maintained.</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AI-POL-007 §7; cross-reference to REG-AUTH-001</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A.8.4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Communication of incidents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incident communication paths defined and tested.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AI-PLAN-IRP-001 §10; AI-POL-007 §8</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A.8.5</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Information for interested parties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Information for interested parties (customers, regulators, public) provided.</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AI-POL-007 §9</w:t>
            </w:r>
          </w:p>
        </w:tc>
      </w:tr>
    </w:tbl>
    <w:p>
      <w:pPr>
        <w:pStyle w:val="Heading2"/>
        <w:spacing w:before="280" w:after="140"/>
        <w:rPr/>
      </w:pPr>
      <w:r>
        <w:rPr>
          <w:rFonts w:eastAsia="Arial" w:cs="Arial" w:ascii="Arial" w:hAnsi="Arial"/>
          <w:b/>
          <w:bCs/>
          <w:color w:val="0000FF"/>
          <w:sz w:val="28"/>
          <w:szCs w:val="28"/>
        </w:rPr>
        <w:t>7.8 A.9 Use of AI systems</w:t>
      </w:r>
    </w:p>
    <w:p>
      <w:pPr>
        <w:pStyle w:val="Normal"/>
        <w:spacing w:lineRule="exact" w:line="300" w:before="80" w:after="120"/>
        <w:rPr/>
      </w:pPr>
      <w:r>
        <w:rPr>
          <w:rFonts w:eastAsia="Arial" w:cs="Arial"/>
          <w:color w:val="1A1A1A"/>
          <w:sz w:val="22"/>
          <w:szCs w:val="22"/>
        </w:rPr>
        <w:t>Objective: To ensure that the organization uses AI systems responsibly and according to organizational policies.</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A.9.2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Processes for responsible use of AI systems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Responsible use processes defined for both Cloudax internal use and customer use.</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AI-POL-008; cross-reference to POL-003 Acceptable Use</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A.9.3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Objectives for responsible use of AI system</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Use objectives defined alongside development objectives.</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AI-POL-008 §6</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A.9.4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Intended use of the AI system</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Intended-use boundaries documented; out-of-scope uses identified and addressed.</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AI-POL-008 §7</w:t>
            </w:r>
          </w:p>
        </w:tc>
      </w:tr>
    </w:tbl>
    <w:p>
      <w:pPr>
        <w:pStyle w:val="Heading2"/>
        <w:spacing w:before="280" w:after="140"/>
        <w:rPr/>
      </w:pPr>
      <w:r>
        <w:rPr>
          <w:rFonts w:eastAsia="Arial" w:cs="Arial" w:ascii="Arial" w:hAnsi="Arial"/>
          <w:b/>
          <w:bCs/>
          <w:color w:val="0000FF"/>
          <w:sz w:val="28"/>
          <w:szCs w:val="28"/>
        </w:rPr>
        <w:t>7.9 A.10 Third-party and customer relationships</w:t>
      </w:r>
    </w:p>
    <w:p>
      <w:pPr>
        <w:pStyle w:val="Normal"/>
        <w:spacing w:lineRule="exact" w:line="300" w:before="80" w:after="120"/>
        <w:rPr/>
      </w:pPr>
      <w:r>
        <w:rPr>
          <w:rFonts w:eastAsia="Arial" w:cs="Arial"/>
          <w:color w:val="1A1A1A"/>
          <w:sz w:val="22"/>
          <w:szCs w:val="22"/>
        </w:rPr>
        <w:t>Objective: To ensure that the organization understands its responsibilities and remains accountable, and risks are appropriately apportioned when third parties are involved at any stage of the AI system life cycle.</w:t>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800"/>
        <w:gridCol w:w="2700"/>
        <w:gridCol w:w="1099"/>
        <w:gridCol w:w="5201"/>
        <w:gridCol w:w="4600"/>
      </w:tblGrid>
      <w:tr>
        <w:trPr>
          <w:tblHeader w:val="true"/>
        </w:trPr>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REF</w:t>
            </w:r>
          </w:p>
        </w:tc>
        <w:tc>
          <w:tcPr>
            <w:tcW w:w="2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CONTROL TITLE</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w:t>
            </w:r>
          </w:p>
        </w:tc>
        <w:tc>
          <w:tcPr>
            <w:tcW w:w="5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JUSTIFICATION</w:t>
            </w:r>
          </w:p>
        </w:tc>
        <w:tc>
          <w:tcPr>
            <w:tcW w:w="4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IMPLEMENTING DOCUMENT(S)</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A.10.2</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Allocating responsibilities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Responsibility allocation between Cloudax, customers, and AI providers explicit.</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AI-POL-009 §6</w:t>
            </w:r>
          </w:p>
        </w:tc>
      </w:tr>
      <w:tr>
        <w:trPr/>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A.10.3</w:t>
            </w:r>
          </w:p>
        </w:tc>
        <w:tc>
          <w:tcPr>
            <w:tcW w:w="2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Suppliers</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Third-party AI providers (LLMs, ASR/TTS) governed under POL-006 and AI-POL-009.</w:t>
            </w:r>
          </w:p>
        </w:tc>
        <w:tc>
          <w:tcPr>
            <w:tcW w:w="4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AI-POL-009 §7; AI-REG-3P-001; cross-reference to POL-006</w:t>
            </w:r>
          </w:p>
        </w:tc>
      </w:tr>
      <w:tr>
        <w:trPr/>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A.10.4</w:t>
            </w:r>
          </w:p>
        </w:tc>
        <w:tc>
          <w:tcPr>
            <w:tcW w:w="2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Customers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Yes</w:t>
            </w:r>
          </w:p>
        </w:tc>
        <w:tc>
          <w:tcPr>
            <w:tcW w:w="5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Customer-facing accountability documented in DPAs and customer documentation.</w:t>
            </w:r>
          </w:p>
        </w:tc>
        <w:tc>
          <w:tcPr>
            <w:tcW w:w="4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AI-POL-009 §8</w:t>
            </w:r>
          </w:p>
        </w:tc>
      </w:tr>
    </w:tbl>
    <w:p>
      <w:pPr>
        <w:pStyle w:val="Heading1"/>
        <w:spacing w:before="360" w:after="180"/>
        <w:rPr/>
      </w:pPr>
      <w:r>
        <w:rPr>
          <w:rFonts w:eastAsia="Arial" w:cs="Arial" w:ascii="Arial" w:hAnsi="Arial"/>
          <w:b/>
          <w:bCs/>
          <w:color w:val="0000FF"/>
          <w:sz w:val="36"/>
          <w:szCs w:val="36"/>
        </w:rPr>
        <w:t>8. Summary</w:t>
      </w:r>
    </w:p>
    <w:p>
      <w:pPr>
        <w:pStyle w:val="Normal"/>
        <w:pBdr>
          <w:bottom w:val="single" w:sz="12" w:space="1" w:color="0000FF"/>
        </w:pBdr>
        <w:spacing w:before="0" w:after="200"/>
        <w:rPr/>
      </w:pPr>
      <w:r>
        <w:rPr/>
      </w:r>
    </w:p>
    <w:p>
      <w:pPr>
        <w:pStyle w:val="Normal"/>
        <w:spacing w:before="60" w:after="60"/>
        <w:rPr/>
      </w:pPr>
      <w:r>
        <w:rPr/>
      </w:r>
    </w:p>
    <w:tbl>
      <w:tblPr>
        <w:tblW w:w="13800" w:type="dxa"/>
        <w:jc w:val="start"/>
        <w:tblInd w:w="0" w:type="dxa"/>
        <w:tblLayout w:type="fixed"/>
        <w:tblCellMar>
          <w:top w:w="80" w:type="dxa"/>
          <w:start w:w="120" w:type="dxa"/>
          <w:bottom w:w="80" w:type="dxa"/>
          <w:end w:w="120" w:type="dxa"/>
        </w:tblCellMar>
      </w:tblPr>
      <w:tblGrid>
        <w:gridCol w:w="1500"/>
        <w:gridCol w:w="5499"/>
        <w:gridCol w:w="1700"/>
        <w:gridCol w:w="1700"/>
        <w:gridCol w:w="1700"/>
        <w:gridCol w:w="17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OBJECTIVE</w:t>
            </w:r>
          </w:p>
        </w:tc>
        <w:tc>
          <w:tcPr>
            <w:tcW w:w="5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TITLE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TOTAL CONTROLS</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APPLICABLE</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EXCLUDED</w:t>
            </w:r>
          </w:p>
        </w:tc>
        <w:tc>
          <w:tcPr>
            <w:tcW w:w="1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PLANNED</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A.2</w:t>
            </w:r>
          </w:p>
        </w:tc>
        <w:tc>
          <w:tcPr>
            <w:tcW w:w="5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Policies related to AI</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A.3</w:t>
            </w:r>
          </w:p>
        </w:tc>
        <w:tc>
          <w:tcPr>
            <w:tcW w:w="5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Internal organization</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2</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2</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A.4</w:t>
            </w:r>
          </w:p>
        </w:tc>
        <w:tc>
          <w:tcPr>
            <w:tcW w:w="5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Resources for AI systems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5</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5</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A.5</w:t>
            </w:r>
          </w:p>
        </w:tc>
        <w:tc>
          <w:tcPr>
            <w:tcW w:w="5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Assessing impacts of AI systems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4</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4</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A.6</w:t>
            </w:r>
          </w:p>
        </w:tc>
        <w:tc>
          <w:tcPr>
            <w:tcW w:w="5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system life cycle</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9</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9</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A.7</w:t>
            </w:r>
          </w:p>
        </w:tc>
        <w:tc>
          <w:tcPr>
            <w:tcW w:w="5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Data for AI systems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5</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5</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A.8</w:t>
            </w:r>
          </w:p>
        </w:tc>
        <w:tc>
          <w:tcPr>
            <w:tcW w:w="5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Information for interested parties of AI systems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4</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4</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A.9</w:t>
            </w:r>
          </w:p>
        </w:tc>
        <w:tc>
          <w:tcPr>
            <w:tcW w:w="5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Use of AI systems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A.10</w:t>
            </w:r>
          </w:p>
        </w:tc>
        <w:tc>
          <w:tcPr>
            <w:tcW w:w="5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Third-party and customer relationships</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3</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0</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TOTAL</w:t>
            </w:r>
          </w:p>
        </w:tc>
        <w:tc>
          <w:tcPr>
            <w:tcW w:w="5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All Annex A controls</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38</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38</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c>
          <w:tcPr>
            <w:tcW w:w="1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0</w:t>
            </w:r>
          </w:p>
        </w:tc>
      </w:tr>
    </w:tbl>
    <w:p>
      <w:pPr>
        <w:pStyle w:val="Normal"/>
        <w:spacing w:lineRule="exact" w:line="300" w:before="80" w:after="120"/>
        <w:rPr/>
      </w:pPr>
      <w:r>
        <w:rPr>
          <w:rFonts w:eastAsia="Arial" w:cs="Arial"/>
          <w:color w:val="1A1A1A"/>
          <w:sz w:val="22"/>
          <w:szCs w:val="22"/>
        </w:rPr>
        <w:t>All 38 controls of ISO/IEC 42001:2023 Annex A are applicable to Cloudax. No controls are excluded at this issue. Where a control is implemented across multiple documents, all are referenced; where implementation matures over time (e.g. monitoring detail), the SoA is revised at the next cycle to reflect that maturity.</w:t>
      </w:r>
    </w:p>
    <w:p>
      <w:pPr>
        <w:pStyle w:val="Heading1"/>
        <w:spacing w:before="360" w:after="180"/>
        <w:rPr/>
      </w:pPr>
      <w:r>
        <w:rPr>
          <w:rFonts w:eastAsia="Arial" w:cs="Arial" w:ascii="Arial" w:hAnsi="Arial"/>
          <w:b/>
          <w:bCs/>
          <w:color w:val="0000FF"/>
          <w:sz w:val="36"/>
          <w:szCs w:val="36"/>
        </w:rPr>
        <w:t>9. Approval</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Statement of Applicability v1.0 is approved by the Chief Executive Officer on the date of issue stated in the document control. The CEO's signature constitutes the management approval required by Clause 6.1.3(f) of ISO/IEC 42001:2023.</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Heading1"/>
        <w:spacing w:before="360" w:after="180"/>
        <w:rPr/>
      </w:pPr>
      <w:r>
        <w:rPr>
          <w:rFonts w:eastAsia="Arial" w:cs="Arial" w:ascii="Arial" w:hAnsi="Arial"/>
          <w:b/>
          <w:bCs/>
          <w:color w:val="0000FF"/>
          <w:sz w:val="36"/>
          <w:szCs w:val="36"/>
        </w:rPr>
        <w:t>10.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SoA is reviewed at least annually.</w:t>
      </w:r>
    </w:p>
    <w:p>
      <w:pPr>
        <w:pStyle w:val="ListParagraph"/>
        <w:numPr>
          <w:ilvl w:val="0"/>
          <w:numId w:val="1"/>
        </w:numPr>
        <w:spacing w:lineRule="exact" w:line="280" w:before="40" w:after="40"/>
        <w:rPr/>
      </w:pPr>
      <w:r>
        <w:rPr>
          <w:rFonts w:eastAsia="Arial" w:cs="Arial"/>
          <w:color w:val="1A1A1A"/>
          <w:sz w:val="22"/>
          <w:szCs w:val="22"/>
        </w:rPr>
        <w:t>Material change to the Cloudax AI portfolio, the AIMS scope, the AI risk landscape, or applicable obligations triggers an out-of-cycle review.</w:t>
      </w:r>
    </w:p>
    <w:p>
      <w:pPr>
        <w:pStyle w:val="ListParagraph"/>
        <w:numPr>
          <w:ilvl w:val="0"/>
          <w:numId w:val="1"/>
        </w:numPr>
        <w:spacing w:lineRule="exact" w:line="280" w:before="40" w:after="40"/>
        <w:rPr/>
      </w:pPr>
      <w:r>
        <w:rPr>
          <w:rFonts w:eastAsia="Arial" w:cs="Arial"/>
          <w:color w:val="1A1A1A"/>
          <w:sz w:val="22"/>
          <w:szCs w:val="22"/>
        </w:rPr>
        <w:t>Material revisions are approved by the Chief Executive Officer and are recorded in the Annex — Version History.</w:t>
      </w:r>
    </w:p>
    <w:p>
      <w:pPr>
        <w:pStyle w:val="ListParagraph"/>
        <w:numPr>
          <w:ilvl w:val="0"/>
          <w:numId w:val="1"/>
        </w:numPr>
        <w:spacing w:lineRule="exact" w:line="280" w:before="40" w:after="40"/>
        <w:rPr/>
      </w:pPr>
      <w:r>
        <w:rPr>
          <w:rFonts w:eastAsia="Arial" w:cs="Arial"/>
          <w:color w:val="1A1A1A"/>
          <w:sz w:val="22"/>
          <w:szCs w:val="22"/>
        </w:rPr>
        <w:t>This SoA is reconciled with the AI Risk Treatment Plan (AIMS-RTP-001) at every revision.</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All 38 ISO/IEC 42001:2023 Annex A controls applicable. No exclusions.</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AIMS-SOA-001 AI Statement of Applicability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AIMS-SOA-001 AI Statement of Applicability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2026-04-30T12:56:20Z</dcterms:created>
  <dc:creator>David Stokes</dc:creator>
  <dc:description/>
  <dc:language>en-US</dc:language>
  <cp:lastModifiedBy>David Stokes</cp:lastModifiedBy>
  <dcterms:modified xsi:type="dcterms:W3CDTF">2026-04-30T14:04:20Z</dcterms:modified>
  <cp:revision>1</cp:revision>
  <dc:subject/>
  <dc:title>Cloudax AI Statement of Applicability</dc:title>
</cp:coreProperties>
</file>

<file path=docProps/custom.xml><?xml version="1.0" encoding="utf-8"?>
<Properties xmlns="http://schemas.openxmlformats.org/officeDocument/2006/custom-properties" xmlns:vt="http://schemas.openxmlformats.org/officeDocument/2006/docPropsVTypes"/>
</file>