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42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AIMS Scope Statement</w:t>
            </w:r>
          </w:p>
          <w:p>
            <w:pPr>
              <w:pStyle w:val="Normal"/>
              <w:spacing w:before="0" w:after="40"/>
              <w:jc w:val="center"/>
              <w:rPr/>
            </w:pPr>
            <w:r>
              <w:rPr>
                <w:rFonts w:eastAsia="Arial" w:cs="Arial"/>
                <w:color w:val="FFFFFF"/>
                <w:sz w:val="22"/>
                <w:szCs w:val="22"/>
              </w:rPr>
              <w:t>AI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AIMS-SCOPE-001</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AIMS Scope Statement</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AI Governance Lead</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AIMS SoA REFERENCE</w:t>
            </w:r>
          </w:p>
          <w:p>
            <w:pPr>
              <w:pStyle w:val="Normal"/>
              <w:spacing w:before="0" w:after="0"/>
              <w:rPr/>
            </w:pPr>
            <w:r>
              <w:rPr>
                <w:rFonts w:eastAsia="Arial" w:cs="Arial"/>
                <w:color w:val="1A1A1A"/>
                <w:sz w:val="22"/>
                <w:szCs w:val="22"/>
              </w:rPr>
              <w:t>AIMS-SOA-001 v1.0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AIMS MAP</w:t>
            </w:r>
          </w:p>
          <w:p>
            <w:pPr>
              <w:pStyle w:val="Normal"/>
              <w:spacing w:before="0" w:after="0"/>
              <w:rPr/>
            </w:pPr>
            <w:r>
              <w:rPr>
                <w:rFonts w:eastAsia="Arial" w:cs="Arial"/>
                <w:color w:val="1A1A1A"/>
                <w:sz w:val="22"/>
                <w:szCs w:val="22"/>
              </w:rPr>
              <w:t>AIMS-MAP-001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Definitions</w:t>
      </w:r>
    </w:p>
    <w:p>
      <w:pPr>
        <w:pStyle w:val="Normal"/>
        <w:spacing w:before="40" w:after="40"/>
        <w:rPr/>
      </w:pPr>
      <w:r>
        <w:rPr>
          <w:rFonts w:eastAsia="Arial" w:cs="Arial"/>
          <w:color w:val="1A1A1A"/>
          <w:sz w:val="22"/>
          <w:szCs w:val="22"/>
        </w:rPr>
        <w:t>3. Cloudax Context</w:t>
      </w:r>
    </w:p>
    <w:p>
      <w:pPr>
        <w:pStyle w:val="Normal"/>
        <w:spacing w:before="40" w:after="40"/>
        <w:rPr/>
      </w:pPr>
      <w:r>
        <w:rPr>
          <w:rFonts w:eastAsia="Arial" w:cs="Arial"/>
          <w:color w:val="1A1A1A"/>
          <w:sz w:val="22"/>
          <w:szCs w:val="22"/>
        </w:rPr>
        <w:t>4. Interested Parties</w:t>
      </w:r>
    </w:p>
    <w:p>
      <w:pPr>
        <w:pStyle w:val="Normal"/>
        <w:spacing w:before="40" w:after="40"/>
        <w:rPr/>
      </w:pPr>
      <w:r>
        <w:rPr>
          <w:rFonts w:eastAsia="Arial" w:cs="Arial"/>
          <w:color w:val="1A1A1A"/>
          <w:sz w:val="22"/>
          <w:szCs w:val="22"/>
        </w:rPr>
        <w:t>5. AI Lifecycle Roles</w:t>
      </w:r>
    </w:p>
    <w:p>
      <w:pPr>
        <w:pStyle w:val="Normal"/>
        <w:spacing w:before="40" w:after="40"/>
        <w:rPr/>
      </w:pPr>
      <w:r>
        <w:rPr>
          <w:rFonts w:eastAsia="Arial" w:cs="Arial"/>
          <w:color w:val="1A1A1A"/>
          <w:sz w:val="22"/>
          <w:szCs w:val="22"/>
        </w:rPr>
        <w:t>6. AI Systems in Scope</w:t>
      </w:r>
    </w:p>
    <w:p>
      <w:pPr>
        <w:pStyle w:val="Normal"/>
        <w:spacing w:before="40" w:after="40"/>
        <w:rPr/>
      </w:pPr>
      <w:r>
        <w:rPr>
          <w:rFonts w:eastAsia="Arial" w:cs="Arial"/>
          <w:color w:val="1A1A1A"/>
          <w:sz w:val="22"/>
          <w:szCs w:val="22"/>
        </w:rPr>
        <w:t>7. AI Systems and Activities Out of Scope</w:t>
      </w:r>
    </w:p>
    <w:p>
      <w:pPr>
        <w:pStyle w:val="Normal"/>
        <w:spacing w:before="40" w:after="40"/>
        <w:rPr/>
      </w:pPr>
      <w:r>
        <w:rPr>
          <w:rFonts w:eastAsia="Arial" w:cs="Arial"/>
          <w:color w:val="1A1A1A"/>
          <w:sz w:val="22"/>
          <w:szCs w:val="22"/>
        </w:rPr>
        <w:t>8. Geographic and Jurisdictional Scope</w:t>
      </w:r>
    </w:p>
    <w:p>
      <w:pPr>
        <w:pStyle w:val="Normal"/>
        <w:spacing w:before="40" w:after="40"/>
        <w:rPr/>
      </w:pPr>
      <w:r>
        <w:rPr>
          <w:rFonts w:eastAsia="Arial" w:cs="Arial"/>
          <w:color w:val="1A1A1A"/>
          <w:sz w:val="22"/>
          <w:szCs w:val="22"/>
        </w:rPr>
        <w:t>9. Organisational Scope</w:t>
      </w:r>
    </w:p>
    <w:p>
      <w:pPr>
        <w:pStyle w:val="Normal"/>
        <w:spacing w:before="40" w:after="40"/>
        <w:rPr/>
      </w:pPr>
      <w:r>
        <w:rPr>
          <w:rFonts w:eastAsia="Arial" w:cs="Arial"/>
          <w:color w:val="1A1A1A"/>
          <w:sz w:val="22"/>
          <w:szCs w:val="22"/>
        </w:rPr>
        <w:t>10. Boundaries with the ISMS</w:t>
      </w:r>
    </w:p>
    <w:p>
      <w:pPr>
        <w:pStyle w:val="Normal"/>
        <w:spacing w:before="40" w:after="40"/>
        <w:rPr/>
      </w:pPr>
      <w:r>
        <w:rPr>
          <w:rFonts w:eastAsia="Arial" w:cs="Arial"/>
          <w:color w:val="1A1A1A"/>
          <w:sz w:val="22"/>
          <w:szCs w:val="22"/>
        </w:rPr>
        <w:t>11. Exclusions and Justification</w:t>
      </w:r>
    </w:p>
    <w:p>
      <w:pPr>
        <w:pStyle w:val="Normal"/>
        <w:spacing w:before="40" w:after="40"/>
        <w:rPr/>
      </w:pPr>
      <w:r>
        <w:rPr>
          <w:rFonts w:eastAsia="Arial" w:cs="Arial"/>
          <w:color w:val="1A1A1A"/>
          <w:sz w:val="22"/>
          <w:szCs w:val="22"/>
        </w:rPr>
        <w:t>12. Approval and Maintenance</w:t>
      </w:r>
    </w:p>
    <w:p>
      <w:pPr>
        <w:pStyle w:val="Normal"/>
        <w:spacing w:before="40" w:after="40"/>
        <w:rPr/>
      </w:pPr>
      <w:r>
        <w:rPr>
          <w:rFonts w:eastAsia="Arial" w:cs="Arial"/>
          <w:color w:val="1A1A1A"/>
          <w:sz w:val="22"/>
          <w:szCs w:val="22"/>
        </w:rPr>
        <w:t>Annex A — ISO/IEC 42001:2023 Clause Mapping</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defines the scope of the Cloudax Ltd. AI Management System (AIMS) in accordance with Clause 4.3 of ISO/IEC 42001:2023. It identifies the AI systems, activities, locations, and personnel within the AIMS, and is the authoritative reference for what is and is not in scope of the AIMS.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ISO 42001 reference: Clause 4.1 Understanding the organization and its context; Clause 4.2 Understanding the needs and expectations of interested parties; Clause 4.3 Determining the scope of the AIMS</w:t>
      </w:r>
    </w:p>
    <w:p>
      <w:pPr>
        <w:pStyle w:val="Heading1"/>
        <w:spacing w:before="360" w:after="180"/>
        <w:rPr/>
      </w:pPr>
      <w:r>
        <w:rPr>
          <w:rFonts w:eastAsia="Arial" w:cs="Arial" w:ascii="Arial" w:hAnsi="Arial"/>
          <w:b/>
          <w:bCs/>
          <w:color w:val="0000FF"/>
          <w:sz w:val="36"/>
          <w:szCs w:val="36"/>
        </w:rPr>
        <w:t>2.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AI system: </w:t>
      </w:r>
      <w:r>
        <w:rPr>
          <w:rFonts w:eastAsia="Arial" w:cs="Arial"/>
          <w:color w:val="1A1A1A"/>
          <w:sz w:val="22"/>
          <w:szCs w:val="22"/>
        </w:rPr>
        <w:t>a system that infers, from the input it receives, how to generate outputs (per ISO/IEC 22989:2022).</w:t>
      </w:r>
    </w:p>
    <w:p>
      <w:pPr>
        <w:pStyle w:val="ListParagraph"/>
        <w:numPr>
          <w:ilvl w:val="0"/>
          <w:numId w:val="1"/>
        </w:numPr>
        <w:spacing w:lineRule="exact" w:line="280" w:before="40" w:after="40"/>
        <w:rPr/>
      </w:pPr>
      <w:r>
        <w:rPr>
          <w:rFonts w:eastAsia="Arial" w:cs="Arial"/>
          <w:b/>
          <w:bCs/>
          <w:color w:val="1A1A1A"/>
          <w:sz w:val="22"/>
          <w:szCs w:val="22"/>
        </w:rPr>
        <w:t xml:space="preserve">AIMS scope: </w:t>
      </w:r>
      <w:r>
        <w:rPr>
          <w:rFonts w:eastAsia="Arial" w:cs="Arial"/>
          <w:color w:val="1A1A1A"/>
          <w:sz w:val="22"/>
          <w:szCs w:val="22"/>
        </w:rPr>
        <w:t>the set of AI systems, activities, processes, locations, and personnel governed by the Cloudax AI Management System.</w:t>
      </w:r>
    </w:p>
    <w:p>
      <w:pPr>
        <w:pStyle w:val="Heading1"/>
        <w:spacing w:before="360" w:after="180"/>
        <w:rPr/>
      </w:pPr>
      <w:r>
        <w:rPr>
          <w:rFonts w:eastAsia="Arial" w:cs="Arial" w:ascii="Arial" w:hAnsi="Arial"/>
          <w:b/>
          <w:bCs/>
          <w:color w:val="0000FF"/>
          <w:sz w:val="36"/>
          <w:szCs w:val="36"/>
        </w:rPr>
        <w:t>3. Cloudax Context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Ltd. (Companies House registration 14717183) is a UK company developing and operating a conversational AI platform. The Cloudax platform processes voice and text-based conversations on behalf of customers, generating transcripts, structured outputs, and insights from those conversations.</w:t>
      </w:r>
    </w:p>
    <w:p>
      <w:pPr>
        <w:pStyle w:val="Normal"/>
        <w:spacing w:lineRule="exact" w:line="300" w:before="80" w:after="120"/>
        <w:rPr/>
      </w:pPr>
      <w:r>
        <w:rPr>
          <w:rFonts w:eastAsia="Arial" w:cs="Arial"/>
          <w:color w:val="1A1A1A"/>
          <w:sz w:val="22"/>
          <w:szCs w:val="22"/>
        </w:rPr>
        <w:t>The company is fully cloud-native, headquartered with shared workspace in Manchester, with hybrid working across a small distributed team. AI is central to the product and is therefore central to the operating model.</w:t>
      </w:r>
    </w:p>
    <w:p>
      <w:pPr>
        <w:pStyle w:val="Normal"/>
        <w:spacing w:lineRule="exact" w:line="300" w:before="80" w:after="120"/>
        <w:rPr/>
      </w:pPr>
      <w:r>
        <w:rPr>
          <w:rFonts w:eastAsia="Arial" w:cs="Arial"/>
          <w:color w:val="1A1A1A"/>
          <w:sz w:val="22"/>
          <w:szCs w:val="22"/>
        </w:rPr>
        <w:t>External issues relevant to the AIMS include the evolving UK and EU AI regulatory environment (UK AI policy, EU AI Act extraterritorial provisions, sectoral guidance), the broader AI threat landscape (model jailbreaking, prompt injection, training data exfiltration, deepfakes), customer expectations of transparent and accountable AI, and the rapid pace of foundation model evolution.</w:t>
      </w:r>
    </w:p>
    <w:p>
      <w:pPr>
        <w:pStyle w:val="Normal"/>
        <w:spacing w:lineRule="exact" w:line="300" w:before="80" w:after="120"/>
        <w:rPr/>
      </w:pPr>
      <w:r>
        <w:rPr>
          <w:rFonts w:eastAsia="Arial" w:cs="Arial"/>
          <w:color w:val="1A1A1A"/>
          <w:sz w:val="22"/>
          <w:szCs w:val="22"/>
        </w:rPr>
        <w:t>Internal issues include the small team size, the cloud-first operating model, the use of multiple third-party AI providers, and the dual role as both AI developer and AI operator.</w:t>
      </w:r>
    </w:p>
    <w:p>
      <w:pPr>
        <w:pStyle w:val="Heading1"/>
        <w:spacing w:before="360" w:after="180"/>
        <w:rPr/>
      </w:pPr>
      <w:r>
        <w:rPr>
          <w:rFonts w:eastAsia="Arial" w:cs="Arial" w:ascii="Arial" w:hAnsi="Arial"/>
          <w:b/>
          <w:bCs/>
          <w:color w:val="0000FF"/>
          <w:sz w:val="36"/>
          <w:szCs w:val="36"/>
        </w:rPr>
        <w:t>4. Interested Parties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Interested parties whose needs and expectations the AIMS addresses are:</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000"/>
        <w:gridCol w:w="6025"/>
      </w:tblGrid>
      <w:tr>
        <w:trPr>
          <w:tblHeader w:val="true"/>
        </w:trPr>
        <w:tc>
          <w:tcPr>
            <w:tcW w:w="3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INTERESTED PARTY</w:t>
            </w:r>
          </w:p>
        </w:tc>
        <w:tc>
          <w:tcPr>
            <w:tcW w:w="6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NEEDS AND EXPECTATIONS</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Cloudax customers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Reliable, accurate, and accountable AI capabilities; honest documentation of AI behaviour and limitations; data handling commitments; sub-processor transparency.</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Customers' end-users (callers / data subjects)</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Awareness when interacting with AI; fair treatment; protection of personal data; routes to challenge or question AI-influenced decisions.</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Cloudax personnel</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Clear AI policies; training appropriate to role; channels to raise AI concerns; protection from liability arising from following the policy.</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The Information Commissioner's Office (ICO)</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Compliant data protection practices, including in respect of AI; responsiveness to enquiries; appropriate AISIA / DPIA practice.</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Future AI regulators (UK / EU)</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Demonstrable governance of AI systems aligned with emerging expectations.</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Investors and partners</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Demonstrable AI risk management; aligned commercial assurance.</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The wider community</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Responsible AI development; transparency about AI capability and impact.</w:t>
            </w:r>
          </w:p>
        </w:tc>
      </w:tr>
    </w:tbl>
    <w:p>
      <w:pPr>
        <w:pStyle w:val="Heading1"/>
        <w:spacing w:before="360" w:after="180"/>
        <w:rPr/>
      </w:pPr>
      <w:r>
        <w:rPr>
          <w:rFonts w:eastAsia="Arial" w:cs="Arial" w:ascii="Arial" w:hAnsi="Arial"/>
          <w:b/>
          <w:bCs/>
          <w:color w:val="0000FF"/>
          <w:sz w:val="36"/>
          <w:szCs w:val="36"/>
        </w:rPr>
        <w:t>5. AI Lifecycle Roles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operates across multiple roles in the AI lifecycle. The AIMS scope reflects all of these:</w:t>
      </w:r>
    </w:p>
    <w:p>
      <w:pPr>
        <w:pStyle w:val="ListParagraph"/>
        <w:numPr>
          <w:ilvl w:val="0"/>
          <w:numId w:val="1"/>
        </w:numPr>
        <w:spacing w:lineRule="exact" w:line="280" w:before="40" w:after="40"/>
        <w:rPr/>
      </w:pPr>
      <w:r>
        <w:rPr>
          <w:rFonts w:eastAsia="Arial" w:cs="Arial"/>
          <w:color w:val="1A1A1A"/>
          <w:sz w:val="22"/>
          <w:szCs w:val="22"/>
        </w:rPr>
        <w:t>AI Developer: Cloudax designs, develops, trains, fine-tunes, and validates AI components within the Cloudax platform.</w:t>
      </w:r>
    </w:p>
    <w:p>
      <w:pPr>
        <w:pStyle w:val="ListParagraph"/>
        <w:numPr>
          <w:ilvl w:val="0"/>
          <w:numId w:val="1"/>
        </w:numPr>
        <w:spacing w:lineRule="exact" w:line="280" w:before="40" w:after="40"/>
        <w:rPr/>
      </w:pPr>
      <w:r>
        <w:rPr>
          <w:rFonts w:eastAsia="Arial" w:cs="Arial"/>
          <w:color w:val="1A1A1A"/>
          <w:sz w:val="22"/>
          <w:szCs w:val="22"/>
        </w:rPr>
        <w:t>AI Operator: Cloudax operates AI systems in production on behalf of customers, including monitoring and intervention.</w:t>
      </w:r>
    </w:p>
    <w:p>
      <w:pPr>
        <w:pStyle w:val="ListParagraph"/>
        <w:numPr>
          <w:ilvl w:val="0"/>
          <w:numId w:val="1"/>
        </w:numPr>
        <w:spacing w:lineRule="exact" w:line="280" w:before="40" w:after="40"/>
        <w:rPr/>
      </w:pPr>
      <w:r>
        <w:rPr>
          <w:rFonts w:eastAsia="Arial" w:cs="Arial"/>
          <w:color w:val="1A1A1A"/>
          <w:sz w:val="22"/>
          <w:szCs w:val="22"/>
        </w:rPr>
        <w:t>AI Supplier: Cloudax provides AI capabilities to its customers under contract.</w:t>
      </w:r>
    </w:p>
    <w:p>
      <w:pPr>
        <w:pStyle w:val="ListParagraph"/>
        <w:numPr>
          <w:ilvl w:val="0"/>
          <w:numId w:val="1"/>
        </w:numPr>
        <w:spacing w:lineRule="exact" w:line="280" w:before="40" w:after="40"/>
        <w:rPr/>
      </w:pPr>
      <w:r>
        <w:rPr>
          <w:rFonts w:eastAsia="Arial" w:cs="Arial"/>
          <w:color w:val="1A1A1A"/>
          <w:sz w:val="22"/>
          <w:szCs w:val="22"/>
        </w:rPr>
        <w:t>AI User: Cloudax personnel use third-party AI tools (coding assistants, document assistants, generative AI) for internal work.</w:t>
      </w:r>
    </w:p>
    <w:p>
      <w:pPr>
        <w:pStyle w:val="ListParagraph"/>
        <w:numPr>
          <w:ilvl w:val="0"/>
          <w:numId w:val="1"/>
        </w:numPr>
        <w:spacing w:lineRule="exact" w:line="280" w:before="40" w:after="40"/>
        <w:rPr/>
      </w:pPr>
      <w:r>
        <w:rPr>
          <w:rFonts w:eastAsia="Arial" w:cs="Arial"/>
          <w:color w:val="1A1A1A"/>
          <w:sz w:val="22"/>
          <w:szCs w:val="22"/>
        </w:rPr>
        <w:t>AI Customer: Cloudax consumes AI capabilities from third-party providers (LLMs, ASR/TTS, embeddings).</w:t>
      </w:r>
    </w:p>
    <w:p>
      <w:pPr>
        <w:pStyle w:val="Heading1"/>
        <w:spacing w:before="360" w:after="180"/>
        <w:rPr/>
      </w:pPr>
      <w:r>
        <w:rPr>
          <w:rFonts w:eastAsia="Arial" w:cs="Arial" w:ascii="Arial" w:hAnsi="Arial"/>
          <w:b/>
          <w:bCs/>
          <w:color w:val="0000FF"/>
          <w:sz w:val="36"/>
          <w:szCs w:val="36"/>
        </w:rPr>
        <w:t>6. AI Systems in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following AI systems and activities are in scope of the AIMS:</w:t>
      </w:r>
    </w:p>
    <w:p>
      <w:pPr>
        <w:pStyle w:val="ListParagraph"/>
        <w:numPr>
          <w:ilvl w:val="0"/>
          <w:numId w:val="1"/>
        </w:numPr>
        <w:spacing w:lineRule="exact" w:line="280" w:before="40" w:after="40"/>
        <w:rPr/>
      </w:pPr>
      <w:r>
        <w:rPr>
          <w:rFonts w:eastAsia="Arial" w:cs="Arial"/>
          <w:color w:val="1A1A1A"/>
          <w:sz w:val="22"/>
          <w:szCs w:val="22"/>
        </w:rPr>
        <w:t>The Cloudax conversational AI platform, including all AI components (ASR, NLU, dialogue management, TTS, summarisation, classification, embedding-based retrieval, any LLM-mediated capability).</w:t>
      </w:r>
    </w:p>
    <w:p>
      <w:pPr>
        <w:pStyle w:val="ListParagraph"/>
        <w:numPr>
          <w:ilvl w:val="0"/>
          <w:numId w:val="1"/>
        </w:numPr>
        <w:spacing w:lineRule="exact" w:line="280" w:before="40" w:after="40"/>
        <w:rPr/>
      </w:pPr>
      <w:r>
        <w:rPr>
          <w:rFonts w:eastAsia="Arial" w:cs="Arial"/>
          <w:color w:val="1A1A1A"/>
          <w:sz w:val="22"/>
          <w:szCs w:val="22"/>
        </w:rPr>
        <w:t>Models trained, fine-tuned, or operated by Cloudax.</w:t>
      </w:r>
    </w:p>
    <w:p>
      <w:pPr>
        <w:pStyle w:val="ListParagraph"/>
        <w:numPr>
          <w:ilvl w:val="0"/>
          <w:numId w:val="1"/>
        </w:numPr>
        <w:spacing w:lineRule="exact" w:line="280" w:before="40" w:after="40"/>
        <w:rPr/>
      </w:pPr>
      <w:r>
        <w:rPr>
          <w:rFonts w:eastAsia="Arial" w:cs="Arial"/>
          <w:color w:val="1A1A1A"/>
          <w:sz w:val="22"/>
          <w:szCs w:val="22"/>
        </w:rPr>
        <w:t>Third-party AI services consumed by the Cloudax platform (LLM providers, ASR/TTS providers, foundation model providers).</w:t>
      </w:r>
    </w:p>
    <w:p>
      <w:pPr>
        <w:pStyle w:val="ListParagraph"/>
        <w:numPr>
          <w:ilvl w:val="0"/>
          <w:numId w:val="1"/>
        </w:numPr>
        <w:spacing w:lineRule="exact" w:line="280" w:before="40" w:after="40"/>
        <w:rPr/>
      </w:pPr>
      <w:r>
        <w:rPr>
          <w:rFonts w:eastAsia="Arial" w:cs="Arial"/>
          <w:color w:val="1A1A1A"/>
          <w:sz w:val="22"/>
          <w:szCs w:val="22"/>
        </w:rPr>
        <w:t>AI tools used internally by Cloudax personnel where they process Cloudax confidential information or otherwise carry organisational risk.</w:t>
      </w:r>
    </w:p>
    <w:p>
      <w:pPr>
        <w:pStyle w:val="ListParagraph"/>
        <w:numPr>
          <w:ilvl w:val="0"/>
          <w:numId w:val="1"/>
        </w:numPr>
        <w:spacing w:lineRule="exact" w:line="280" w:before="40" w:after="40"/>
        <w:rPr/>
      </w:pPr>
      <w:r>
        <w:rPr>
          <w:rFonts w:eastAsia="Arial" w:cs="Arial"/>
          <w:color w:val="1A1A1A"/>
          <w:sz w:val="22"/>
          <w:szCs w:val="22"/>
        </w:rPr>
        <w:t>Datasets used in development, training, evaluation, fine-tuning, or operation of in-scope AI systems.</w:t>
      </w:r>
    </w:p>
    <w:p>
      <w:pPr>
        <w:pStyle w:val="ListParagraph"/>
        <w:numPr>
          <w:ilvl w:val="0"/>
          <w:numId w:val="1"/>
        </w:numPr>
        <w:spacing w:lineRule="exact" w:line="280" w:before="40" w:after="40"/>
        <w:rPr/>
      </w:pPr>
      <w:r>
        <w:rPr>
          <w:rFonts w:eastAsia="Arial" w:cs="Arial"/>
          <w:color w:val="1A1A1A"/>
          <w:sz w:val="22"/>
          <w:szCs w:val="22"/>
        </w:rPr>
        <w:t>AI-related activities including data acquisition, data preparation, model training, validation, deployment, monitoring, decommissioning.</w:t>
      </w:r>
    </w:p>
    <w:p>
      <w:pPr>
        <w:pStyle w:val="Normal"/>
        <w:spacing w:lineRule="exact" w:line="300" w:before="80" w:after="120"/>
        <w:rPr/>
      </w:pPr>
      <w:r>
        <w:rPr>
          <w:rFonts w:eastAsia="Arial" w:cs="Arial"/>
          <w:color w:val="1A1A1A"/>
          <w:sz w:val="22"/>
          <w:szCs w:val="22"/>
        </w:rPr>
        <w:t>All AI systems within scope are recorded in the AI System Inventory (AI-REG-INV-001).</w:t>
      </w:r>
    </w:p>
    <w:p>
      <w:pPr>
        <w:pStyle w:val="Heading1"/>
        <w:spacing w:before="360" w:after="180"/>
        <w:rPr/>
      </w:pPr>
      <w:r>
        <w:rPr>
          <w:rFonts w:eastAsia="Arial" w:cs="Arial" w:ascii="Arial" w:hAnsi="Arial"/>
          <w:b/>
          <w:bCs/>
          <w:color w:val="0000FF"/>
          <w:sz w:val="36"/>
          <w:szCs w:val="36"/>
        </w:rPr>
        <w:t>7. AI Systems and Activities Out of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following are out of AIMS scope:</w:t>
      </w:r>
    </w:p>
    <w:p>
      <w:pPr>
        <w:pStyle w:val="ListParagraph"/>
        <w:numPr>
          <w:ilvl w:val="0"/>
          <w:numId w:val="1"/>
        </w:numPr>
        <w:spacing w:lineRule="exact" w:line="280" w:before="40" w:after="40"/>
        <w:rPr/>
      </w:pPr>
      <w:r>
        <w:rPr>
          <w:rFonts w:eastAsia="Arial" w:cs="Arial"/>
          <w:color w:val="1A1A1A"/>
          <w:sz w:val="22"/>
          <w:szCs w:val="22"/>
        </w:rPr>
        <w:t>Non-AI components of the Cloudax platform (e.g. account management, billing, telephony routing) where they do not influence AI behaviour. These are governed by the ISMS.</w:t>
      </w:r>
    </w:p>
    <w:p>
      <w:pPr>
        <w:pStyle w:val="ListParagraph"/>
        <w:numPr>
          <w:ilvl w:val="0"/>
          <w:numId w:val="1"/>
        </w:numPr>
        <w:spacing w:lineRule="exact" w:line="280" w:before="40" w:after="40"/>
        <w:rPr/>
      </w:pPr>
      <w:r>
        <w:rPr>
          <w:rFonts w:eastAsia="Arial" w:cs="Arial"/>
          <w:color w:val="1A1A1A"/>
          <w:sz w:val="22"/>
          <w:szCs w:val="22"/>
        </w:rPr>
        <w:t>Personnel use of consumer AI tools for personal (non-Cloudax) purposes.</w:t>
      </w:r>
    </w:p>
    <w:p>
      <w:pPr>
        <w:pStyle w:val="ListParagraph"/>
        <w:numPr>
          <w:ilvl w:val="0"/>
          <w:numId w:val="1"/>
        </w:numPr>
        <w:spacing w:lineRule="exact" w:line="280" w:before="40" w:after="40"/>
        <w:rPr/>
      </w:pPr>
      <w:r>
        <w:rPr>
          <w:rFonts w:eastAsia="Arial" w:cs="Arial"/>
          <w:color w:val="1A1A1A"/>
          <w:sz w:val="22"/>
          <w:szCs w:val="22"/>
        </w:rPr>
        <w:t>AI systems operated entirely by Cloudax customers on their own infrastructure, where Cloudax has no operational role beyond the customer’s use of the Cloudax platform.</w:t>
      </w:r>
    </w:p>
    <w:p>
      <w:pPr>
        <w:pStyle w:val="ListParagraph"/>
        <w:numPr>
          <w:ilvl w:val="0"/>
          <w:numId w:val="1"/>
        </w:numPr>
        <w:spacing w:lineRule="exact" w:line="280" w:before="40" w:after="40"/>
        <w:rPr/>
      </w:pPr>
      <w:r>
        <w:rPr>
          <w:rFonts w:eastAsia="Arial" w:cs="Arial"/>
          <w:color w:val="1A1A1A"/>
          <w:sz w:val="22"/>
          <w:szCs w:val="22"/>
        </w:rPr>
        <w:t>Theoretical or research-only AI activity that does not involve Cloudax data, infrastructure, or personnel acting in Cloudax capacity.</w:t>
      </w:r>
    </w:p>
    <w:p>
      <w:pPr>
        <w:pStyle w:val="Heading1"/>
        <w:spacing w:before="360" w:after="180"/>
        <w:rPr/>
      </w:pPr>
      <w:r>
        <w:rPr>
          <w:rFonts w:eastAsia="Arial" w:cs="Arial" w:ascii="Arial" w:hAnsi="Arial"/>
          <w:b/>
          <w:bCs/>
          <w:color w:val="0000FF"/>
          <w:sz w:val="36"/>
          <w:szCs w:val="36"/>
        </w:rPr>
        <w:t>8. Geographic and Jurisdictional Scope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The AIMS applies wherever Cloudax operates, with primary operations in the United Kingdom.</w:t>
      </w:r>
    </w:p>
    <w:p>
      <w:pPr>
        <w:pStyle w:val="ListParagraph"/>
        <w:numPr>
          <w:ilvl w:val="0"/>
          <w:numId w:val="1"/>
        </w:numPr>
        <w:spacing w:lineRule="exact" w:line="280" w:before="40" w:after="40"/>
        <w:rPr/>
      </w:pPr>
      <w:r>
        <w:rPr>
          <w:rFonts w:eastAsia="Arial" w:cs="Arial"/>
          <w:color w:val="1A1A1A"/>
          <w:sz w:val="22"/>
          <w:szCs w:val="22"/>
        </w:rPr>
        <w:t>AI systems are deployed across cloud regions selected for customer requirements; the AIMS extends to all such deployments.</w:t>
      </w:r>
    </w:p>
    <w:p>
      <w:pPr>
        <w:pStyle w:val="ListParagraph"/>
        <w:numPr>
          <w:ilvl w:val="0"/>
          <w:numId w:val="1"/>
        </w:numPr>
        <w:spacing w:lineRule="exact" w:line="280" w:before="40" w:after="40"/>
        <w:rPr/>
      </w:pPr>
      <w:r>
        <w:rPr>
          <w:rFonts w:eastAsia="Arial" w:cs="Arial"/>
          <w:color w:val="1A1A1A"/>
          <w:sz w:val="22"/>
          <w:szCs w:val="22"/>
        </w:rPr>
        <w:t>Cloudax’s primary regulatory environment is UK GDPR, the Data Protection Act 2018, evolving UK AI policy, and applicable sectoral law. EU obligations apply where Cloudax processes EU residents’ data or operates AI systems with EU effect (e.g. EU AI Act high-risk system obligations where applicable).</w:t>
      </w:r>
    </w:p>
    <w:p>
      <w:pPr>
        <w:pStyle w:val="Heading1"/>
        <w:spacing w:before="360" w:after="180"/>
        <w:rPr/>
      </w:pPr>
      <w:r>
        <w:rPr>
          <w:rFonts w:eastAsia="Arial" w:cs="Arial" w:ascii="Arial" w:hAnsi="Arial"/>
          <w:b/>
          <w:bCs/>
          <w:color w:val="0000FF"/>
          <w:sz w:val="36"/>
          <w:szCs w:val="36"/>
        </w:rPr>
        <w:t>9. Organisational Scope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All Cloudax personnel — employees, contractors, consultants, agency workers — in any role with influence over AI systems.</w:t>
      </w:r>
    </w:p>
    <w:p>
      <w:pPr>
        <w:pStyle w:val="ListParagraph"/>
        <w:numPr>
          <w:ilvl w:val="0"/>
          <w:numId w:val="1"/>
        </w:numPr>
        <w:spacing w:lineRule="exact" w:line="280" w:before="40" w:after="40"/>
        <w:rPr/>
      </w:pPr>
      <w:r>
        <w:rPr>
          <w:rFonts w:eastAsia="Arial" w:cs="Arial"/>
          <w:color w:val="1A1A1A"/>
          <w:sz w:val="22"/>
          <w:szCs w:val="22"/>
        </w:rPr>
        <w:t>Third parties acting on behalf of Cloudax in respect of AI systems, including AI suppliers, contractors performing AI work, and partners with platform integration.</w:t>
      </w:r>
    </w:p>
    <w:p>
      <w:pPr>
        <w:pStyle w:val="Heading1"/>
        <w:spacing w:before="360" w:after="180"/>
        <w:rPr/>
      </w:pPr>
      <w:r>
        <w:rPr>
          <w:rFonts w:eastAsia="Arial" w:cs="Arial" w:ascii="Arial" w:hAnsi="Arial"/>
          <w:b/>
          <w:bCs/>
          <w:color w:val="0000FF"/>
          <w:sz w:val="36"/>
          <w:szCs w:val="36"/>
        </w:rPr>
        <w:t>10. Boundaries with the ISMS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AIMS operates in parallel with the Cloudax Information Security Management System (ISMS). The two share interested parties, infrastructure, and many personnel but are governed under separate frameworks (ISO/IEC 27001:2022 for the ISMS; ISO/IEC 42001:2023 for the AIMS).</w:t>
      </w:r>
    </w:p>
    <w:p>
      <w:pPr>
        <w:pStyle w:val="Normal"/>
        <w:spacing w:lineRule="exact" w:line="300" w:before="80" w:after="120"/>
        <w:rPr/>
      </w:pPr>
      <w:r>
        <w:rPr>
          <w:rFonts w:eastAsia="Arial" w:cs="Arial"/>
          <w:color w:val="1A1A1A"/>
          <w:sz w:val="22"/>
          <w:szCs w:val="22"/>
        </w:rPr>
        <w:t>Specific boundary points:</w:t>
      </w:r>
    </w:p>
    <w:p>
      <w:pPr>
        <w:pStyle w:val="ListParagraph"/>
        <w:numPr>
          <w:ilvl w:val="0"/>
          <w:numId w:val="1"/>
        </w:numPr>
        <w:spacing w:lineRule="exact" w:line="280" w:before="40" w:after="40"/>
        <w:rPr/>
      </w:pPr>
      <w:r>
        <w:rPr>
          <w:rFonts w:eastAsia="Arial" w:cs="Arial"/>
          <w:color w:val="1A1A1A"/>
          <w:sz w:val="22"/>
          <w:szCs w:val="22"/>
        </w:rPr>
        <w:t>AI risk and information security risk: the same risk may appear in both registers if it has both AI and security dimensions; the registers are reconciled at management review.</w:t>
      </w:r>
    </w:p>
    <w:p>
      <w:pPr>
        <w:pStyle w:val="ListParagraph"/>
        <w:numPr>
          <w:ilvl w:val="0"/>
          <w:numId w:val="1"/>
        </w:numPr>
        <w:spacing w:lineRule="exact" w:line="280" w:before="40" w:after="40"/>
        <w:rPr/>
      </w:pPr>
      <w:r>
        <w:rPr>
          <w:rFonts w:eastAsia="Arial" w:cs="Arial"/>
          <w:color w:val="1A1A1A"/>
          <w:sz w:val="22"/>
          <w:szCs w:val="22"/>
        </w:rPr>
        <w:t>Incident response: AI incidents and security incidents are managed by parallel plans (AI-PLAN-IRP-001 and PLAN-IRP-001); a single incident may invoke both.</w:t>
      </w:r>
    </w:p>
    <w:p>
      <w:pPr>
        <w:pStyle w:val="ListParagraph"/>
        <w:numPr>
          <w:ilvl w:val="0"/>
          <w:numId w:val="1"/>
        </w:numPr>
        <w:spacing w:lineRule="exact" w:line="280" w:before="40" w:after="40"/>
        <w:rPr/>
      </w:pPr>
      <w:r>
        <w:rPr>
          <w:rFonts w:eastAsia="Arial" w:cs="Arial"/>
          <w:color w:val="1A1A1A"/>
          <w:sz w:val="22"/>
          <w:szCs w:val="22"/>
        </w:rPr>
        <w:t>Personnel and competence: the same personnel hold roles under both management systems; their training programme covers both.</w:t>
      </w:r>
    </w:p>
    <w:p>
      <w:pPr>
        <w:pStyle w:val="ListParagraph"/>
        <w:numPr>
          <w:ilvl w:val="0"/>
          <w:numId w:val="1"/>
        </w:numPr>
        <w:spacing w:lineRule="exact" w:line="280" w:before="40" w:after="40"/>
        <w:rPr/>
      </w:pPr>
      <w:r>
        <w:rPr>
          <w:rFonts w:eastAsia="Arial" w:cs="Arial"/>
          <w:color w:val="1A1A1A"/>
          <w:sz w:val="22"/>
          <w:szCs w:val="22"/>
        </w:rPr>
        <w:t>Suppliers: AI suppliers are recorded in both the AI Third-Party Provider Register (AI-REG-3P-001) and the Cloudax Supplier Inventory.</w:t>
      </w:r>
    </w:p>
    <w:p>
      <w:pPr>
        <w:pStyle w:val="Normal"/>
        <w:spacing w:lineRule="exact" w:line="300" w:before="80" w:after="120"/>
        <w:rPr/>
      </w:pPr>
      <w:r>
        <w:rPr>
          <w:rFonts w:eastAsia="Arial" w:cs="Arial"/>
          <w:color w:val="1A1A1A"/>
          <w:sz w:val="22"/>
          <w:szCs w:val="22"/>
        </w:rPr>
        <w:t>Where a topic is governed by both an AIMS and an ISMS document, the AIMS document is authoritative for AI-specific aspects; the ISMS document is authoritative for security aspects.</w:t>
      </w:r>
    </w:p>
    <w:p>
      <w:pPr>
        <w:pStyle w:val="Heading1"/>
        <w:spacing w:before="360" w:after="180"/>
        <w:rPr/>
      </w:pPr>
      <w:r>
        <w:rPr>
          <w:rFonts w:eastAsia="Arial" w:cs="Arial" w:ascii="Arial" w:hAnsi="Arial"/>
          <w:b/>
          <w:bCs/>
          <w:color w:val="0000FF"/>
          <w:sz w:val="36"/>
          <w:szCs w:val="36"/>
        </w:rPr>
        <w:t>11. Exclusions and Justification</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No AI systems within Cloudax’s organisational scope are excluded from the AIMS. The exclusions in Section 7 relate to scope boundaries (non-AI systems, personal use of AI), not to AIMS exclusions of in-scope AI systems.</w:t>
      </w:r>
    </w:p>
    <w:p>
      <w:pPr>
        <w:pStyle w:val="Heading1"/>
        <w:spacing w:before="360" w:after="180"/>
        <w:rPr/>
      </w:pPr>
      <w:r>
        <w:rPr>
          <w:rFonts w:eastAsia="Arial" w:cs="Arial" w:ascii="Arial" w:hAnsi="Arial"/>
          <w:b/>
          <w:bCs/>
          <w:color w:val="0000FF"/>
          <w:sz w:val="36"/>
          <w:szCs w:val="36"/>
        </w:rPr>
        <w:t>12. Approval and Maintenance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This Scope Statement is approved by the Chief Executive Officer and reviewed at least annually.</w:t>
      </w:r>
    </w:p>
    <w:p>
      <w:pPr>
        <w:pStyle w:val="ListParagraph"/>
        <w:numPr>
          <w:ilvl w:val="0"/>
          <w:numId w:val="1"/>
        </w:numPr>
        <w:spacing w:lineRule="exact" w:line="280" w:before="40" w:after="40"/>
        <w:rPr/>
      </w:pPr>
      <w:r>
        <w:rPr>
          <w:rFonts w:eastAsia="Arial" w:cs="Arial"/>
          <w:color w:val="1A1A1A"/>
          <w:sz w:val="22"/>
          <w:szCs w:val="22"/>
        </w:rPr>
        <w:t>Material change to the Cloudax AI portfolio, the operating model, or the regulatory environment triggers a review.</w:t>
      </w:r>
    </w:p>
    <w:p>
      <w:pPr>
        <w:pStyle w:val="ListParagraph"/>
        <w:numPr>
          <w:ilvl w:val="0"/>
          <w:numId w:val="1"/>
        </w:numPr>
        <w:spacing w:lineRule="exact" w:line="280" w:before="40" w:after="40"/>
        <w:rPr/>
      </w:pPr>
      <w:r>
        <w:rPr>
          <w:rFonts w:eastAsia="Arial" w:cs="Arial"/>
          <w:color w:val="1A1A1A"/>
          <w:sz w:val="22"/>
          <w:szCs w:val="22"/>
        </w:rPr>
        <w:t>Changes are recorded in Annex B and reflected in AIMS-MAP-001 and AIMS-SOA-001 as appropriate.</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ISO/IEC 42001:2023 Clause Mapping</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gives effect to the following clauses of ISO/IEC 42001:2023. The authoritative AIMS scope and Annex A control selection are recorded in the AIMS Statement of Applicability (AIMS-SOA-001 v1.0).</w:t>
      </w:r>
    </w:p>
    <w:tbl>
      <w:tblPr>
        <w:tblW w:w="9026" w:type="dxa"/>
        <w:jc w:val="start"/>
        <w:tblInd w:w="0" w:type="dxa"/>
        <w:tblLayout w:type="fixed"/>
        <w:tblCellMar>
          <w:top w:w="100" w:type="dxa"/>
          <w:start w:w="140" w:type="dxa"/>
          <w:bottom w:w="100" w:type="dxa"/>
          <w:end w:w="140" w:type="dxa"/>
        </w:tblCellMar>
      </w:tblPr>
      <w:tblGrid>
        <w:gridCol w:w="1299"/>
        <w:gridCol w:w="2400"/>
        <w:gridCol w:w="5327"/>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CLAUSE</w:t>
            </w:r>
          </w:p>
        </w:tc>
        <w:tc>
          <w:tcPr>
            <w:tcW w:w="24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TITLE</w:t>
            </w:r>
          </w:p>
        </w:tc>
        <w:tc>
          <w:tcPr>
            <w:tcW w:w="5327"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HOW THIS DOCUMENT GIVES EFFECT</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4.1</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Understanding the organization and its context</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Section 3 establishes context.</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4.2</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Understanding the needs and expectations of interested parties</w:t>
            </w:r>
          </w:p>
        </w:tc>
        <w:tc>
          <w:tcPr>
            <w:tcW w:w="5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Section 4 identifies interested parties and their needs.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4.3</w:t>
            </w:r>
          </w:p>
        </w:tc>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Determining the scope of the AIMS</w:t>
            </w:r>
          </w:p>
        </w:tc>
        <w:tc>
          <w:tcPr>
            <w:tcW w:w="53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Sections 5–11 define the scope.</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4.4</w:t>
            </w:r>
          </w:p>
        </w:tc>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AI management system</w:t>
            </w:r>
          </w:p>
        </w:tc>
        <w:tc>
          <w:tcPr>
            <w:tcW w:w="53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This Scope is foundational to the AIMS.</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AI Governance Lead</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42001:2023.</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AIMS-SCOPE-001 AIMS Scope Statement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AIMS-SCOPE-001 AIMS Scope Statement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2026-04-22T09:23:40Z</dcterms:created>
  <dc:creator>David Stokes</dc:creator>
  <dc:description/>
  <dc:language>en-US</dc:language>
  <cp:lastModifiedBy>David Stokes</cp:lastModifiedBy>
  <dcterms:modified xsi:type="dcterms:W3CDTF">2026-04-22T10:38:40Z</dcterms:modified>
  <cp:revision>1</cp:revision>
  <dc:subject/>
  <dc:title>Cloudax AIMS Scope Statement</dc:title>
</cp:coreProperties>
</file>

<file path=docProps/custom.xml><?xml version="1.0" encoding="utf-8"?>
<Properties xmlns="http://schemas.openxmlformats.org/officeDocument/2006/custom-properties" xmlns:vt="http://schemas.openxmlformats.org/officeDocument/2006/docPropsVTypes"/>
</file>