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42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AI System Impact Assessment Policy</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AI-POL-004</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 System Impact Assessment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When AISIA is Required</w:t>
      </w:r>
    </w:p>
    <w:p>
      <w:pPr>
        <w:pStyle w:val="Normal"/>
        <w:spacing w:before="40" w:after="40"/>
        <w:rPr/>
      </w:pPr>
      <w:r>
        <w:rPr>
          <w:rFonts w:eastAsia="Arial" w:cs="Arial"/>
          <w:color w:val="1A1A1A"/>
          <w:sz w:val="22"/>
          <w:szCs w:val="22"/>
        </w:rPr>
        <w:t>7. The AISIA Process</w:t>
      </w:r>
    </w:p>
    <w:p>
      <w:pPr>
        <w:pStyle w:val="Normal"/>
        <w:spacing w:before="40" w:after="40"/>
        <w:rPr/>
      </w:pPr>
      <w:r>
        <w:rPr>
          <w:rFonts w:eastAsia="Arial" w:cs="Arial"/>
          <w:color w:val="1A1A1A"/>
          <w:sz w:val="22"/>
          <w:szCs w:val="22"/>
        </w:rPr>
        <w:t>8. Documentation Requirements</w:t>
      </w:r>
    </w:p>
    <w:p>
      <w:pPr>
        <w:pStyle w:val="Normal"/>
        <w:spacing w:before="40" w:after="40"/>
        <w:rPr/>
      </w:pPr>
      <w:r>
        <w:rPr>
          <w:rFonts w:eastAsia="Arial" w:cs="Arial"/>
          <w:color w:val="1A1A1A"/>
          <w:sz w:val="22"/>
          <w:szCs w:val="22"/>
        </w:rPr>
        <w:t>9. Impact on Individuals or Groups</w:t>
      </w:r>
    </w:p>
    <w:p>
      <w:pPr>
        <w:pStyle w:val="Normal"/>
        <w:spacing w:before="40" w:after="40"/>
        <w:rPr/>
      </w:pPr>
      <w:r>
        <w:rPr>
          <w:rFonts w:eastAsia="Arial" w:cs="Arial"/>
          <w:color w:val="1A1A1A"/>
          <w:sz w:val="22"/>
          <w:szCs w:val="22"/>
        </w:rPr>
        <w:t>10. Societal Impact</w:t>
      </w:r>
    </w:p>
    <w:p>
      <w:pPr>
        <w:pStyle w:val="Normal"/>
        <w:spacing w:before="40" w:after="40"/>
        <w:rPr/>
      </w:pPr>
      <w:r>
        <w:rPr>
          <w:rFonts w:eastAsia="Arial" w:cs="Arial"/>
          <w:color w:val="1A1A1A"/>
          <w:sz w:val="22"/>
          <w:szCs w:val="22"/>
        </w:rPr>
        <w:t>11. Coordination with DPIA</w:t>
      </w:r>
    </w:p>
    <w:p>
      <w:pPr>
        <w:pStyle w:val="Normal"/>
        <w:spacing w:before="40" w:after="40"/>
        <w:rPr/>
      </w:pPr>
      <w:r>
        <w:rPr>
          <w:rFonts w:eastAsia="Arial" w:cs="Arial"/>
          <w:color w:val="1A1A1A"/>
          <w:sz w:val="22"/>
          <w:szCs w:val="22"/>
        </w:rPr>
        <w:t>12. Outcomes and Action</w:t>
      </w:r>
    </w:p>
    <w:p>
      <w:pPr>
        <w:pStyle w:val="Normal"/>
        <w:spacing w:before="40" w:after="40"/>
        <w:rPr/>
      </w:pPr>
      <w:r>
        <w:rPr>
          <w:rFonts w:eastAsia="Arial" w:cs="Arial"/>
          <w:color w:val="1A1A1A"/>
          <w:sz w:val="22"/>
          <w:szCs w:val="22"/>
        </w:rPr>
        <w:t>13. Records and Review</w:t>
      </w:r>
    </w:p>
    <w:p>
      <w:pPr>
        <w:pStyle w:val="Normal"/>
        <w:spacing w:before="40" w:after="40"/>
        <w:rPr/>
      </w:pPr>
      <w:r>
        <w:rPr>
          <w:rFonts w:eastAsia="Arial" w:cs="Arial"/>
          <w:color w:val="1A1A1A"/>
          <w:sz w:val="22"/>
          <w:szCs w:val="22"/>
        </w:rPr>
        <w:t>14. Compliance Monitoring</w:t>
      </w:r>
    </w:p>
    <w:p>
      <w:pPr>
        <w:pStyle w:val="Normal"/>
        <w:spacing w:before="40" w:after="40"/>
        <w:rPr/>
      </w:pPr>
      <w:r>
        <w:rPr>
          <w:rFonts w:eastAsia="Arial" w:cs="Arial"/>
          <w:color w:val="1A1A1A"/>
          <w:sz w:val="22"/>
          <w:szCs w:val="22"/>
        </w:rPr>
        <w:t>15. Maintenance</w:t>
      </w:r>
    </w:p>
    <w:p>
      <w:pPr>
        <w:pStyle w:val="Normal"/>
        <w:spacing w:before="40" w:after="40"/>
        <w:rPr/>
      </w:pPr>
      <w:r>
        <w:rPr>
          <w:rFonts w:eastAsia="Arial" w:cs="Arial"/>
          <w:color w:val="1A1A1A"/>
          <w:sz w:val="22"/>
          <w:szCs w:val="22"/>
        </w:rPr>
        <w:t>16. Acknowledgement</w:t>
      </w:r>
    </w:p>
    <w:p>
      <w:pPr>
        <w:pStyle w:val="Normal"/>
        <w:spacing w:before="40" w:after="40"/>
        <w:rPr/>
      </w:pPr>
      <w:r>
        <w:rPr>
          <w:rFonts w:eastAsia="Arial" w:cs="Arial"/>
          <w:color w:val="1A1A1A"/>
          <w:sz w:val="22"/>
          <w:szCs w:val="22"/>
        </w:rPr>
        <w:t>Annex A — ISO/IEC 42001:2023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establishes the AI System Impact Assessment (AISIA) discipline at Cloudax. AISIA is the structured assessment of how an AI system may affect individuals, groups of individuals, and society. It is required by Clauses 6.1.4 and 8.4 of ISO/IEC 42001:2023 and is the cornerstone of responsible AI development at Cloudax.</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Clause 6.1.4 AI system impact assessment; Clause 8.4 AI system impact assessment; A.5.2 AI system impact assessment process; A.5.3 Documentation of AI system impact assessments; A.5.4 Assessing AI system impact on individuals or groups of individuals; A.5.5 Assessing societal impacts of AI systems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AISIA applies to every AI system within the AIMS scope (AIMS-SCOPE-001) at material lifecycle points (Section 6). It complements but does not replace Data Protection Impact Assessment (DPIA) under POL-010.</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AISIA: </w:t>
      </w:r>
      <w:r>
        <w:rPr>
          <w:rFonts w:eastAsia="Arial" w:cs="Arial"/>
          <w:color w:val="1A1A1A"/>
          <w:sz w:val="22"/>
          <w:szCs w:val="22"/>
        </w:rPr>
        <w:t>AI System Impact Assessment — the structured assessment of an AI system’s impacts and the planned mitigation of identified risks.</w:t>
      </w:r>
    </w:p>
    <w:p>
      <w:pPr>
        <w:pStyle w:val="ListParagraph"/>
        <w:numPr>
          <w:ilvl w:val="0"/>
          <w:numId w:val="1"/>
        </w:numPr>
        <w:spacing w:lineRule="exact" w:line="280" w:before="40" w:after="40"/>
        <w:rPr/>
      </w:pPr>
      <w:r>
        <w:rPr>
          <w:rFonts w:eastAsia="Arial" w:cs="Arial"/>
          <w:b/>
          <w:bCs/>
          <w:color w:val="1A1A1A"/>
          <w:sz w:val="22"/>
          <w:szCs w:val="22"/>
        </w:rPr>
        <w:t xml:space="preserve">Affected party: </w:t>
      </w:r>
      <w:r>
        <w:rPr>
          <w:rFonts w:eastAsia="Arial" w:cs="Arial"/>
          <w:color w:val="1A1A1A"/>
          <w:sz w:val="22"/>
          <w:szCs w:val="22"/>
        </w:rPr>
        <w:t>an individual, group, organisation, or community whose interests may be affected by the operation of the AI system.</w:t>
      </w:r>
    </w:p>
    <w:p>
      <w:pPr>
        <w:pStyle w:val="ListParagraph"/>
        <w:numPr>
          <w:ilvl w:val="0"/>
          <w:numId w:val="1"/>
        </w:numPr>
        <w:spacing w:lineRule="exact" w:line="280" w:before="40" w:after="40"/>
        <w:rPr/>
      </w:pPr>
      <w:r>
        <w:rPr>
          <w:rFonts w:eastAsia="Arial" w:cs="Arial"/>
          <w:b/>
          <w:bCs/>
          <w:color w:val="1A1A1A"/>
          <w:sz w:val="22"/>
          <w:szCs w:val="22"/>
        </w:rPr>
        <w:t xml:space="preserve">Material change: </w:t>
      </w:r>
      <w:r>
        <w:rPr>
          <w:rFonts w:eastAsia="Arial" w:cs="Arial"/>
          <w:color w:val="1A1A1A"/>
          <w:sz w:val="22"/>
          <w:szCs w:val="22"/>
        </w:rPr>
        <w:t>a change to an AI system that may alter its impact — e.g. new training data, new model, expanded user population, new use case.</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is performed early — at design or before first deployment, not as a post-hoc justification.</w:t>
      </w:r>
    </w:p>
    <w:p>
      <w:pPr>
        <w:pStyle w:val="ListParagraph"/>
        <w:numPr>
          <w:ilvl w:val="0"/>
          <w:numId w:val="1"/>
        </w:numPr>
        <w:spacing w:lineRule="exact" w:line="280" w:before="40" w:after="40"/>
        <w:rPr/>
      </w:pPr>
      <w:r>
        <w:rPr>
          <w:rFonts w:eastAsia="Arial" w:cs="Arial"/>
          <w:color w:val="1A1A1A"/>
          <w:sz w:val="22"/>
          <w:szCs w:val="22"/>
        </w:rPr>
        <w:t>AISIA is honest — risks are identified even where they are uncomfortable to acknowledge.</w:t>
      </w:r>
    </w:p>
    <w:p>
      <w:pPr>
        <w:pStyle w:val="ListParagraph"/>
        <w:numPr>
          <w:ilvl w:val="0"/>
          <w:numId w:val="1"/>
        </w:numPr>
        <w:spacing w:lineRule="exact" w:line="280" w:before="40" w:after="40"/>
        <w:rPr/>
      </w:pPr>
      <w:r>
        <w:rPr>
          <w:rFonts w:eastAsia="Arial" w:cs="Arial"/>
          <w:color w:val="1A1A1A"/>
          <w:sz w:val="22"/>
          <w:szCs w:val="22"/>
        </w:rPr>
        <w:t>AISIA is proportionate — the depth of assessment matches the potential impact of the AI system.</w:t>
      </w:r>
    </w:p>
    <w:p>
      <w:pPr>
        <w:pStyle w:val="ListParagraph"/>
        <w:numPr>
          <w:ilvl w:val="0"/>
          <w:numId w:val="1"/>
        </w:numPr>
        <w:spacing w:lineRule="exact" w:line="280" w:before="40" w:after="40"/>
        <w:rPr/>
      </w:pPr>
      <w:r>
        <w:rPr>
          <w:rFonts w:eastAsia="Arial" w:cs="Arial"/>
          <w:color w:val="1A1A1A"/>
          <w:sz w:val="22"/>
          <w:szCs w:val="22"/>
        </w:rPr>
        <w:t>AISIA produces actionable outputs — mitigations, monitoring requirements, residual risks accepted at the right level.</w:t>
      </w:r>
    </w:p>
    <w:p>
      <w:pPr>
        <w:pStyle w:val="ListParagraph"/>
        <w:numPr>
          <w:ilvl w:val="0"/>
          <w:numId w:val="1"/>
        </w:numPr>
        <w:spacing w:lineRule="exact" w:line="280" w:before="40" w:after="40"/>
        <w:rPr/>
      </w:pPr>
      <w:r>
        <w:rPr>
          <w:rFonts w:eastAsia="Arial" w:cs="Arial"/>
          <w:color w:val="1A1A1A"/>
          <w:sz w:val="22"/>
          <w:szCs w:val="22"/>
        </w:rPr>
        <w:t>AISIA is refreshed — not a one-time exercise but reviewed when the AI system or its context changes materially.</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 Governance Lead: owns this Policy and the AISIA Procedure (AI-PRO-002); reviews and signs off AISIA outputs.</w:t>
      </w:r>
    </w:p>
    <w:p>
      <w:pPr>
        <w:pStyle w:val="ListParagraph"/>
        <w:numPr>
          <w:ilvl w:val="0"/>
          <w:numId w:val="1"/>
        </w:numPr>
        <w:spacing w:lineRule="exact" w:line="280" w:before="40" w:after="40"/>
        <w:rPr/>
      </w:pPr>
      <w:r>
        <w:rPr>
          <w:rFonts w:eastAsia="Arial" w:cs="Arial"/>
          <w:color w:val="1A1A1A"/>
          <w:sz w:val="22"/>
          <w:szCs w:val="22"/>
        </w:rPr>
        <w:t>Project / feature owner: leads the AISIA, ensures the assessment captures all relevant facts, agrees mitigations.</w:t>
      </w:r>
    </w:p>
    <w:p>
      <w:pPr>
        <w:pStyle w:val="ListParagraph"/>
        <w:numPr>
          <w:ilvl w:val="0"/>
          <w:numId w:val="1"/>
        </w:numPr>
        <w:spacing w:lineRule="exact" w:line="280" w:before="40" w:after="40"/>
        <w:rPr/>
      </w:pPr>
      <w:r>
        <w:rPr>
          <w:rFonts w:eastAsia="Arial" w:cs="Arial"/>
          <w:color w:val="1A1A1A"/>
          <w:sz w:val="22"/>
          <w:szCs w:val="22"/>
        </w:rPr>
        <w:t>Privacy Lead: contributes the privacy and data subject perspective.</w:t>
      </w:r>
    </w:p>
    <w:p>
      <w:pPr>
        <w:pStyle w:val="ListParagraph"/>
        <w:numPr>
          <w:ilvl w:val="0"/>
          <w:numId w:val="1"/>
        </w:numPr>
        <w:spacing w:lineRule="exact" w:line="280" w:before="40" w:after="40"/>
        <w:rPr/>
      </w:pPr>
      <w:r>
        <w:rPr>
          <w:rFonts w:eastAsia="Arial" w:cs="Arial"/>
          <w:color w:val="1A1A1A"/>
          <w:sz w:val="22"/>
          <w:szCs w:val="22"/>
        </w:rPr>
        <w:t>Chief Technology Officer: contributes the technical perspective on feasibility of mitigations.</w:t>
      </w:r>
    </w:p>
    <w:p>
      <w:pPr>
        <w:pStyle w:val="ListParagraph"/>
        <w:numPr>
          <w:ilvl w:val="0"/>
          <w:numId w:val="1"/>
        </w:numPr>
        <w:spacing w:lineRule="exact" w:line="280" w:before="40" w:after="40"/>
        <w:rPr/>
      </w:pPr>
      <w:r>
        <w:rPr>
          <w:rFonts w:eastAsia="Arial" w:cs="Arial"/>
          <w:color w:val="1A1A1A"/>
          <w:sz w:val="22"/>
          <w:szCs w:val="22"/>
        </w:rPr>
        <w:t>Chief Executive Officer: notified of high-impact AISIAs; approves any AI system whose AISIA identifies high residual risk.</w:t>
      </w:r>
    </w:p>
    <w:p>
      <w:pPr>
        <w:pStyle w:val="ListParagraph"/>
        <w:numPr>
          <w:ilvl w:val="0"/>
          <w:numId w:val="1"/>
        </w:numPr>
        <w:spacing w:lineRule="exact" w:line="280" w:before="40" w:after="40"/>
        <w:rPr/>
      </w:pPr>
      <w:r>
        <w:rPr>
          <w:rFonts w:eastAsia="Arial" w:cs="Arial"/>
          <w:color w:val="1A1A1A"/>
          <w:sz w:val="22"/>
          <w:szCs w:val="22"/>
        </w:rPr>
        <w:t>Customer-facing leads: contribute customer impact perspective for customer-facing AI systems.</w:t>
      </w:r>
    </w:p>
    <w:p>
      <w:pPr>
        <w:pStyle w:val="Heading1"/>
        <w:spacing w:before="360" w:after="180"/>
        <w:rPr/>
      </w:pPr>
      <w:r>
        <w:rPr>
          <w:rFonts w:eastAsia="Arial" w:cs="Arial" w:ascii="Arial" w:hAnsi="Arial"/>
          <w:b/>
          <w:bCs/>
          <w:color w:val="0000FF"/>
          <w:sz w:val="36"/>
          <w:szCs w:val="36"/>
        </w:rPr>
        <w:t>6. When AISIA is Required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AISIA is required:</w:t>
      </w:r>
    </w:p>
    <w:p>
      <w:pPr>
        <w:pStyle w:val="ListParagraph"/>
        <w:numPr>
          <w:ilvl w:val="0"/>
          <w:numId w:val="1"/>
        </w:numPr>
        <w:spacing w:lineRule="exact" w:line="280" w:before="40" w:after="40"/>
        <w:rPr/>
      </w:pPr>
      <w:r>
        <w:rPr>
          <w:rFonts w:eastAsia="Arial" w:cs="Arial"/>
          <w:color w:val="1A1A1A"/>
          <w:sz w:val="22"/>
          <w:szCs w:val="22"/>
        </w:rPr>
        <w:t>Before first deployment of any new AI system or AI feature.</w:t>
      </w:r>
    </w:p>
    <w:p>
      <w:pPr>
        <w:pStyle w:val="ListParagraph"/>
        <w:numPr>
          <w:ilvl w:val="0"/>
          <w:numId w:val="1"/>
        </w:numPr>
        <w:spacing w:lineRule="exact" w:line="280" w:before="40" w:after="40"/>
        <w:rPr/>
      </w:pPr>
      <w:r>
        <w:rPr>
          <w:rFonts w:eastAsia="Arial" w:cs="Arial"/>
          <w:color w:val="1A1A1A"/>
          <w:sz w:val="22"/>
          <w:szCs w:val="22"/>
        </w:rPr>
        <w:t>Before material change to an existing AI system, including: introduction of a new model, change of foundation model provider, expansion to a new user population, expansion to a new use case, change of training or evaluation data.</w:t>
      </w:r>
    </w:p>
    <w:p>
      <w:pPr>
        <w:pStyle w:val="ListParagraph"/>
        <w:numPr>
          <w:ilvl w:val="0"/>
          <w:numId w:val="1"/>
        </w:numPr>
        <w:spacing w:lineRule="exact" w:line="280" w:before="40" w:after="40"/>
        <w:rPr/>
      </w:pPr>
      <w:r>
        <w:rPr>
          <w:rFonts w:eastAsia="Arial" w:cs="Arial"/>
          <w:color w:val="1A1A1A"/>
          <w:sz w:val="22"/>
          <w:szCs w:val="22"/>
        </w:rPr>
        <w:t>On periodic refresh — at least annually for production AI systems.</w:t>
      </w:r>
    </w:p>
    <w:p>
      <w:pPr>
        <w:pStyle w:val="ListParagraph"/>
        <w:numPr>
          <w:ilvl w:val="0"/>
          <w:numId w:val="1"/>
        </w:numPr>
        <w:spacing w:lineRule="exact" w:line="280" w:before="40" w:after="40"/>
        <w:rPr/>
      </w:pPr>
      <w:r>
        <w:rPr>
          <w:rFonts w:eastAsia="Arial" w:cs="Arial"/>
          <w:color w:val="1A1A1A"/>
          <w:sz w:val="22"/>
          <w:szCs w:val="22"/>
        </w:rPr>
        <w:t>On request from the AI Governance Lead, the Chief Executive Officer, a customer (where contractually agreed), or a regulator.</w:t>
      </w:r>
    </w:p>
    <w:p>
      <w:pPr>
        <w:pStyle w:val="ListParagraph"/>
        <w:numPr>
          <w:ilvl w:val="0"/>
          <w:numId w:val="1"/>
        </w:numPr>
        <w:spacing w:lineRule="exact" w:line="280" w:before="40" w:after="40"/>
        <w:rPr/>
      </w:pPr>
      <w:r>
        <w:rPr>
          <w:rFonts w:eastAsia="Arial" w:cs="Arial"/>
          <w:color w:val="1A1A1A"/>
          <w:sz w:val="22"/>
          <w:szCs w:val="22"/>
        </w:rPr>
        <w:t>Following an AI incident where the incident indicates an inadequately assessed impact.</w:t>
      </w:r>
    </w:p>
    <w:p>
      <w:pPr>
        <w:pStyle w:val="Normal"/>
        <w:spacing w:lineRule="exact" w:line="300" w:before="80" w:after="120"/>
        <w:rPr/>
      </w:pPr>
      <w:r>
        <w:rPr>
          <w:rFonts w:eastAsia="Arial" w:cs="Arial"/>
          <w:color w:val="1A1A1A"/>
          <w:sz w:val="22"/>
          <w:szCs w:val="22"/>
        </w:rPr>
        <w:t>Light-touch AISIA may be appropriate for low-impact systems (e.g. internal-only tools); the depth scales with assessed impact.</w:t>
      </w:r>
    </w:p>
    <w:p>
      <w:pPr>
        <w:pStyle w:val="Heading1"/>
        <w:spacing w:before="360" w:after="180"/>
        <w:rPr/>
      </w:pPr>
      <w:r>
        <w:rPr>
          <w:rFonts w:eastAsia="Arial" w:cs="Arial" w:ascii="Arial" w:hAnsi="Arial"/>
          <w:b/>
          <w:bCs/>
          <w:color w:val="0000FF"/>
          <w:sz w:val="36"/>
          <w:szCs w:val="36"/>
        </w:rPr>
        <w:t>7. The AISIA Process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AISIA process is operationalised in AI-PRO-002. Summary stages:</w:t>
      </w:r>
    </w:p>
    <w:p>
      <w:pPr>
        <w:pStyle w:val="ListParagraph"/>
        <w:numPr>
          <w:ilvl w:val="0"/>
          <w:numId w:val="1"/>
        </w:numPr>
        <w:spacing w:lineRule="exact" w:line="280" w:before="40" w:after="40"/>
        <w:rPr/>
      </w:pPr>
      <w:r>
        <w:rPr>
          <w:rFonts w:eastAsia="Arial" w:cs="Arial"/>
          <w:color w:val="1A1A1A"/>
          <w:sz w:val="22"/>
          <w:szCs w:val="22"/>
        </w:rPr>
        <w:t>Define the AI system — purpose, intended use, users, data, dependencies.</w:t>
      </w:r>
    </w:p>
    <w:p>
      <w:pPr>
        <w:pStyle w:val="ListParagraph"/>
        <w:numPr>
          <w:ilvl w:val="0"/>
          <w:numId w:val="1"/>
        </w:numPr>
        <w:spacing w:lineRule="exact" w:line="280" w:before="40" w:after="40"/>
        <w:rPr/>
      </w:pPr>
      <w:r>
        <w:rPr>
          <w:rFonts w:eastAsia="Arial" w:cs="Arial"/>
          <w:color w:val="1A1A1A"/>
          <w:sz w:val="22"/>
          <w:szCs w:val="22"/>
        </w:rPr>
        <w:t>Identify affected parties — who could be affected by the system’s operation, intended or otherwise.</w:t>
      </w:r>
    </w:p>
    <w:p>
      <w:pPr>
        <w:pStyle w:val="ListParagraph"/>
        <w:numPr>
          <w:ilvl w:val="0"/>
          <w:numId w:val="1"/>
        </w:numPr>
        <w:spacing w:lineRule="exact" w:line="280" w:before="40" w:after="40"/>
        <w:rPr/>
      </w:pPr>
      <w:r>
        <w:rPr>
          <w:rFonts w:eastAsia="Arial" w:cs="Arial"/>
          <w:color w:val="1A1A1A"/>
          <w:sz w:val="22"/>
          <w:szCs w:val="22"/>
        </w:rPr>
        <w:t>Identify potential impacts — across the categories in Sections 9 and 10.</w:t>
      </w:r>
    </w:p>
    <w:p>
      <w:pPr>
        <w:pStyle w:val="ListParagraph"/>
        <w:numPr>
          <w:ilvl w:val="0"/>
          <w:numId w:val="1"/>
        </w:numPr>
        <w:spacing w:lineRule="exact" w:line="280" w:before="40" w:after="40"/>
        <w:rPr/>
      </w:pPr>
      <w:r>
        <w:rPr>
          <w:rFonts w:eastAsia="Arial" w:cs="Arial"/>
          <w:color w:val="1A1A1A"/>
          <w:sz w:val="22"/>
          <w:szCs w:val="22"/>
        </w:rPr>
        <w:t>Assess severity, likelihood, and reversibility of impacts.</w:t>
      </w:r>
    </w:p>
    <w:p>
      <w:pPr>
        <w:pStyle w:val="ListParagraph"/>
        <w:numPr>
          <w:ilvl w:val="0"/>
          <w:numId w:val="1"/>
        </w:numPr>
        <w:spacing w:lineRule="exact" w:line="280" w:before="40" w:after="40"/>
        <w:rPr/>
      </w:pPr>
      <w:r>
        <w:rPr>
          <w:rFonts w:eastAsia="Arial" w:cs="Arial"/>
          <w:color w:val="1A1A1A"/>
          <w:sz w:val="22"/>
          <w:szCs w:val="22"/>
        </w:rPr>
        <w:t>Identify mitigations — design changes, monitoring, controls, communication, contractual constraints.</w:t>
      </w:r>
    </w:p>
    <w:p>
      <w:pPr>
        <w:pStyle w:val="ListParagraph"/>
        <w:numPr>
          <w:ilvl w:val="0"/>
          <w:numId w:val="1"/>
        </w:numPr>
        <w:spacing w:lineRule="exact" w:line="280" w:before="40" w:after="40"/>
        <w:rPr/>
      </w:pPr>
      <w:r>
        <w:rPr>
          <w:rFonts w:eastAsia="Arial" w:cs="Arial"/>
          <w:color w:val="1A1A1A"/>
          <w:sz w:val="22"/>
          <w:szCs w:val="22"/>
        </w:rPr>
        <w:t>Determine residual impact and acceptance authority.</w:t>
      </w:r>
    </w:p>
    <w:p>
      <w:pPr>
        <w:pStyle w:val="ListParagraph"/>
        <w:numPr>
          <w:ilvl w:val="0"/>
          <w:numId w:val="1"/>
        </w:numPr>
        <w:spacing w:lineRule="exact" w:line="280" w:before="40" w:after="40"/>
        <w:rPr/>
      </w:pPr>
      <w:r>
        <w:rPr>
          <w:rFonts w:eastAsia="Arial" w:cs="Arial"/>
          <w:color w:val="1A1A1A"/>
          <w:sz w:val="22"/>
          <w:szCs w:val="22"/>
        </w:rPr>
        <w:t>Document and obtain sign-off from the AI Governance Lead.</w:t>
      </w:r>
    </w:p>
    <w:p>
      <w:pPr>
        <w:pStyle w:val="Heading1"/>
        <w:spacing w:before="360" w:after="180"/>
        <w:rPr/>
      </w:pPr>
      <w:r>
        <w:rPr>
          <w:rFonts w:eastAsia="Arial" w:cs="Arial" w:ascii="Arial" w:hAnsi="Arial"/>
          <w:b/>
          <w:bCs/>
          <w:color w:val="0000FF"/>
          <w:sz w:val="36"/>
          <w:szCs w:val="36"/>
        </w:rPr>
        <w:t>8. Documentation Requirements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Each AISIA produces a record containing:</w:t>
      </w:r>
    </w:p>
    <w:p>
      <w:pPr>
        <w:pStyle w:val="ListParagraph"/>
        <w:numPr>
          <w:ilvl w:val="0"/>
          <w:numId w:val="1"/>
        </w:numPr>
        <w:spacing w:lineRule="exact" w:line="280" w:before="40" w:after="40"/>
        <w:rPr/>
      </w:pPr>
      <w:r>
        <w:rPr>
          <w:rFonts w:eastAsia="Arial" w:cs="Arial"/>
          <w:color w:val="1A1A1A"/>
          <w:sz w:val="22"/>
          <w:szCs w:val="22"/>
        </w:rPr>
        <w:t>AISIA reference (AISIA-NNN).</w:t>
      </w:r>
    </w:p>
    <w:p>
      <w:pPr>
        <w:pStyle w:val="ListParagraph"/>
        <w:numPr>
          <w:ilvl w:val="0"/>
          <w:numId w:val="1"/>
        </w:numPr>
        <w:spacing w:lineRule="exact" w:line="280" w:before="40" w:after="40"/>
        <w:rPr/>
      </w:pPr>
      <w:r>
        <w:rPr>
          <w:rFonts w:eastAsia="Arial" w:cs="Arial"/>
          <w:color w:val="1A1A1A"/>
          <w:sz w:val="22"/>
          <w:szCs w:val="22"/>
        </w:rPr>
        <w:t>AI system identifier (linked to AI-REG-INV-001).</w:t>
      </w:r>
    </w:p>
    <w:p>
      <w:pPr>
        <w:pStyle w:val="ListParagraph"/>
        <w:numPr>
          <w:ilvl w:val="0"/>
          <w:numId w:val="1"/>
        </w:numPr>
        <w:spacing w:lineRule="exact" w:line="280" w:before="40" w:after="40"/>
        <w:rPr/>
      </w:pPr>
      <w:r>
        <w:rPr>
          <w:rFonts w:eastAsia="Arial" w:cs="Arial"/>
          <w:color w:val="1A1A1A"/>
          <w:sz w:val="22"/>
          <w:szCs w:val="22"/>
        </w:rPr>
        <w:t>Trigger for the assessment.</w:t>
      </w:r>
    </w:p>
    <w:p>
      <w:pPr>
        <w:pStyle w:val="ListParagraph"/>
        <w:numPr>
          <w:ilvl w:val="0"/>
          <w:numId w:val="1"/>
        </w:numPr>
        <w:spacing w:lineRule="exact" w:line="280" w:before="40" w:after="40"/>
        <w:rPr/>
      </w:pPr>
      <w:r>
        <w:rPr>
          <w:rFonts w:eastAsia="Arial" w:cs="Arial"/>
          <w:color w:val="1A1A1A"/>
          <w:sz w:val="22"/>
          <w:szCs w:val="22"/>
        </w:rPr>
        <w:t>Affected parties identified.</w:t>
      </w:r>
    </w:p>
    <w:p>
      <w:pPr>
        <w:pStyle w:val="ListParagraph"/>
        <w:numPr>
          <w:ilvl w:val="0"/>
          <w:numId w:val="1"/>
        </w:numPr>
        <w:spacing w:lineRule="exact" w:line="280" w:before="40" w:after="40"/>
        <w:rPr/>
      </w:pPr>
      <w:r>
        <w:rPr>
          <w:rFonts w:eastAsia="Arial" w:cs="Arial"/>
          <w:color w:val="1A1A1A"/>
          <w:sz w:val="22"/>
          <w:szCs w:val="22"/>
        </w:rPr>
        <w:t>Identified impacts (positive and negative; intended and unintended).</w:t>
      </w:r>
    </w:p>
    <w:p>
      <w:pPr>
        <w:pStyle w:val="ListParagraph"/>
        <w:numPr>
          <w:ilvl w:val="0"/>
          <w:numId w:val="1"/>
        </w:numPr>
        <w:spacing w:lineRule="exact" w:line="280" w:before="40" w:after="40"/>
        <w:rPr/>
      </w:pPr>
      <w:r>
        <w:rPr>
          <w:rFonts w:eastAsia="Arial" w:cs="Arial"/>
          <w:color w:val="1A1A1A"/>
          <w:sz w:val="22"/>
          <w:szCs w:val="22"/>
        </w:rPr>
        <w:t>Severity, likelihood, reversibility ratings.</w:t>
      </w:r>
    </w:p>
    <w:p>
      <w:pPr>
        <w:pStyle w:val="ListParagraph"/>
        <w:numPr>
          <w:ilvl w:val="0"/>
          <w:numId w:val="1"/>
        </w:numPr>
        <w:spacing w:lineRule="exact" w:line="280" w:before="40" w:after="40"/>
        <w:rPr/>
      </w:pPr>
      <w:r>
        <w:rPr>
          <w:rFonts w:eastAsia="Arial" w:cs="Arial"/>
          <w:color w:val="1A1A1A"/>
          <w:sz w:val="22"/>
          <w:szCs w:val="22"/>
        </w:rPr>
        <w:t>Mitigations agreed.</w:t>
      </w:r>
    </w:p>
    <w:p>
      <w:pPr>
        <w:pStyle w:val="ListParagraph"/>
        <w:numPr>
          <w:ilvl w:val="0"/>
          <w:numId w:val="1"/>
        </w:numPr>
        <w:spacing w:lineRule="exact" w:line="280" w:before="40" w:after="40"/>
        <w:rPr/>
      </w:pPr>
      <w:r>
        <w:rPr>
          <w:rFonts w:eastAsia="Arial" w:cs="Arial"/>
          <w:color w:val="1A1A1A"/>
          <w:sz w:val="22"/>
          <w:szCs w:val="22"/>
        </w:rPr>
        <w:t>Residual impact assessment.</w:t>
      </w:r>
    </w:p>
    <w:p>
      <w:pPr>
        <w:pStyle w:val="ListParagraph"/>
        <w:numPr>
          <w:ilvl w:val="0"/>
          <w:numId w:val="1"/>
        </w:numPr>
        <w:spacing w:lineRule="exact" w:line="280" w:before="40" w:after="40"/>
        <w:rPr/>
      </w:pPr>
      <w:r>
        <w:rPr>
          <w:rFonts w:eastAsia="Arial" w:cs="Arial"/>
          <w:color w:val="1A1A1A"/>
          <w:sz w:val="22"/>
          <w:szCs w:val="22"/>
        </w:rPr>
        <w:t>Acceptance and sign-off.</w:t>
      </w:r>
    </w:p>
    <w:p>
      <w:pPr>
        <w:pStyle w:val="ListParagraph"/>
        <w:numPr>
          <w:ilvl w:val="0"/>
          <w:numId w:val="1"/>
        </w:numPr>
        <w:spacing w:lineRule="exact" w:line="280" w:before="40" w:after="40"/>
        <w:rPr/>
      </w:pPr>
      <w:r>
        <w:rPr>
          <w:rFonts w:eastAsia="Arial" w:cs="Arial"/>
          <w:color w:val="1A1A1A"/>
          <w:sz w:val="22"/>
          <w:szCs w:val="22"/>
        </w:rPr>
        <w:t>Review date.</w:t>
      </w:r>
    </w:p>
    <w:p>
      <w:pPr>
        <w:pStyle w:val="Normal"/>
        <w:spacing w:lineRule="exact" w:line="300" w:before="80" w:after="120"/>
        <w:rPr/>
      </w:pPr>
      <w:r>
        <w:rPr>
          <w:rFonts w:eastAsia="Arial" w:cs="Arial"/>
          <w:color w:val="1A1A1A"/>
          <w:sz w:val="22"/>
          <w:szCs w:val="22"/>
        </w:rPr>
        <w:t>Records are held in the AI System Impact Assessment Register (AI-REG-AISIA-001).</w:t>
      </w:r>
    </w:p>
    <w:p>
      <w:pPr>
        <w:pStyle w:val="Heading1"/>
        <w:spacing w:before="360" w:after="180"/>
        <w:rPr/>
      </w:pPr>
      <w:r>
        <w:rPr>
          <w:rFonts w:eastAsia="Arial" w:cs="Arial" w:ascii="Arial" w:hAnsi="Arial"/>
          <w:b/>
          <w:bCs/>
          <w:color w:val="0000FF"/>
          <w:sz w:val="36"/>
          <w:szCs w:val="36"/>
        </w:rPr>
        <w:t>9. Impact on Individuals or Groups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AISIA considers impacts on individuals and groups including:</w:t>
      </w:r>
    </w:p>
    <w:p>
      <w:pPr>
        <w:pStyle w:val="ListParagraph"/>
        <w:numPr>
          <w:ilvl w:val="0"/>
          <w:numId w:val="1"/>
        </w:numPr>
        <w:spacing w:lineRule="exact" w:line="280" w:before="40" w:after="40"/>
        <w:rPr/>
      </w:pPr>
      <w:r>
        <w:rPr>
          <w:rFonts w:eastAsia="Arial" w:cs="Arial"/>
          <w:color w:val="1A1A1A"/>
          <w:sz w:val="22"/>
          <w:szCs w:val="22"/>
        </w:rPr>
        <w:t>Accuracy and quality of AI outputs as they affect a person’s situation.</w:t>
      </w:r>
    </w:p>
    <w:p>
      <w:pPr>
        <w:pStyle w:val="ListParagraph"/>
        <w:numPr>
          <w:ilvl w:val="0"/>
          <w:numId w:val="1"/>
        </w:numPr>
        <w:spacing w:lineRule="exact" w:line="280" w:before="40" w:after="40"/>
        <w:rPr/>
      </w:pPr>
      <w:r>
        <w:rPr>
          <w:rFonts w:eastAsia="Arial" w:cs="Arial"/>
          <w:color w:val="1A1A1A"/>
          <w:sz w:val="22"/>
          <w:szCs w:val="22"/>
        </w:rPr>
        <w:t>Bias — systematic disparate treatment by protected characteristic, accent, dialect, demographic, or other relevant grouping.</w:t>
      </w:r>
    </w:p>
    <w:p>
      <w:pPr>
        <w:pStyle w:val="ListParagraph"/>
        <w:numPr>
          <w:ilvl w:val="0"/>
          <w:numId w:val="1"/>
        </w:numPr>
        <w:spacing w:lineRule="exact" w:line="280" w:before="40" w:after="40"/>
        <w:rPr/>
      </w:pPr>
      <w:r>
        <w:rPr>
          <w:rFonts w:eastAsia="Arial" w:cs="Arial"/>
          <w:color w:val="1A1A1A"/>
          <w:sz w:val="22"/>
          <w:szCs w:val="22"/>
        </w:rPr>
        <w:t>Privacy — collection, inference, retention, disclosure of personal data.</w:t>
      </w:r>
    </w:p>
    <w:p>
      <w:pPr>
        <w:pStyle w:val="ListParagraph"/>
        <w:numPr>
          <w:ilvl w:val="0"/>
          <w:numId w:val="1"/>
        </w:numPr>
        <w:spacing w:lineRule="exact" w:line="280" w:before="40" w:after="40"/>
        <w:rPr/>
      </w:pPr>
      <w:r>
        <w:rPr>
          <w:rFonts w:eastAsia="Arial" w:cs="Arial"/>
          <w:color w:val="1A1A1A"/>
          <w:sz w:val="22"/>
          <w:szCs w:val="22"/>
        </w:rPr>
        <w:t>Autonomy — the extent to which AI may displace human judgement that the affected person values.</w:t>
      </w:r>
    </w:p>
    <w:p>
      <w:pPr>
        <w:pStyle w:val="ListParagraph"/>
        <w:numPr>
          <w:ilvl w:val="0"/>
          <w:numId w:val="1"/>
        </w:numPr>
        <w:spacing w:lineRule="exact" w:line="280" w:before="40" w:after="40"/>
        <w:rPr/>
      </w:pPr>
      <w:r>
        <w:rPr>
          <w:rFonts w:eastAsia="Arial" w:cs="Arial"/>
          <w:color w:val="1A1A1A"/>
          <w:sz w:val="22"/>
          <w:szCs w:val="22"/>
        </w:rPr>
        <w:t>Dignity and respect — risk of demeaning, dismissive, or harmful interaction.</w:t>
      </w:r>
    </w:p>
    <w:p>
      <w:pPr>
        <w:pStyle w:val="ListParagraph"/>
        <w:numPr>
          <w:ilvl w:val="0"/>
          <w:numId w:val="1"/>
        </w:numPr>
        <w:spacing w:lineRule="exact" w:line="280" w:before="40" w:after="40"/>
        <w:rPr/>
      </w:pPr>
      <w:r>
        <w:rPr>
          <w:rFonts w:eastAsia="Arial" w:cs="Arial"/>
          <w:color w:val="1A1A1A"/>
          <w:sz w:val="22"/>
          <w:szCs w:val="22"/>
        </w:rPr>
        <w:t>Access and inclusion — whether the AI excludes or disadvantages users with particular needs (accessibility, language, technology access).</w:t>
      </w:r>
    </w:p>
    <w:p>
      <w:pPr>
        <w:pStyle w:val="ListParagraph"/>
        <w:numPr>
          <w:ilvl w:val="0"/>
          <w:numId w:val="1"/>
        </w:numPr>
        <w:spacing w:lineRule="exact" w:line="280" w:before="40" w:after="40"/>
        <w:rPr/>
      </w:pPr>
      <w:r>
        <w:rPr>
          <w:rFonts w:eastAsia="Arial" w:cs="Arial"/>
          <w:color w:val="1A1A1A"/>
          <w:sz w:val="22"/>
          <w:szCs w:val="22"/>
        </w:rPr>
        <w:t>Recourse — whether affected persons can question, appeal, or correct AI-influenced outcomes.</w:t>
      </w:r>
    </w:p>
    <w:p>
      <w:pPr>
        <w:pStyle w:val="ListParagraph"/>
        <w:numPr>
          <w:ilvl w:val="0"/>
          <w:numId w:val="1"/>
        </w:numPr>
        <w:spacing w:lineRule="exact" w:line="280" w:before="40" w:after="40"/>
        <w:rPr/>
      </w:pPr>
      <w:r>
        <w:rPr>
          <w:rFonts w:eastAsia="Arial" w:cs="Arial"/>
          <w:color w:val="1A1A1A"/>
          <w:sz w:val="22"/>
          <w:szCs w:val="22"/>
        </w:rPr>
        <w:t>Safety — risk of physical, financial, psychological, or relational harm.</w:t>
      </w:r>
    </w:p>
    <w:p>
      <w:pPr>
        <w:pStyle w:val="Heading1"/>
        <w:spacing w:before="360" w:after="180"/>
        <w:rPr/>
      </w:pPr>
      <w:r>
        <w:rPr>
          <w:rFonts w:eastAsia="Arial" w:cs="Arial" w:ascii="Arial" w:hAnsi="Arial"/>
          <w:b/>
          <w:bCs/>
          <w:color w:val="0000FF"/>
          <w:sz w:val="36"/>
          <w:szCs w:val="36"/>
        </w:rPr>
        <w:t>10. Societal Impact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AISIA considers aggregate effects across populations, including:</w:t>
      </w:r>
    </w:p>
    <w:p>
      <w:pPr>
        <w:pStyle w:val="ListParagraph"/>
        <w:numPr>
          <w:ilvl w:val="0"/>
          <w:numId w:val="1"/>
        </w:numPr>
        <w:spacing w:lineRule="exact" w:line="280" w:before="40" w:after="40"/>
        <w:rPr/>
      </w:pPr>
      <w:r>
        <w:rPr>
          <w:rFonts w:eastAsia="Arial" w:cs="Arial"/>
          <w:color w:val="1A1A1A"/>
          <w:sz w:val="22"/>
          <w:szCs w:val="22"/>
        </w:rPr>
        <w:t>Effects on labour and employment in the customer’s context (e.g. AI replacing or augmenting human roles).</w:t>
      </w:r>
    </w:p>
    <w:p>
      <w:pPr>
        <w:pStyle w:val="ListParagraph"/>
        <w:numPr>
          <w:ilvl w:val="0"/>
          <w:numId w:val="1"/>
        </w:numPr>
        <w:spacing w:lineRule="exact" w:line="280" w:before="40" w:after="40"/>
        <w:rPr/>
      </w:pPr>
      <w:r>
        <w:rPr>
          <w:rFonts w:eastAsia="Arial" w:cs="Arial"/>
          <w:color w:val="1A1A1A"/>
          <w:sz w:val="22"/>
          <w:szCs w:val="22"/>
        </w:rPr>
        <w:t>Effects on equity in access to customer service, public service, or commercial decisions.</w:t>
      </w:r>
    </w:p>
    <w:p>
      <w:pPr>
        <w:pStyle w:val="ListParagraph"/>
        <w:numPr>
          <w:ilvl w:val="0"/>
          <w:numId w:val="1"/>
        </w:numPr>
        <w:spacing w:lineRule="exact" w:line="280" w:before="40" w:after="40"/>
        <w:rPr/>
      </w:pPr>
      <w:r>
        <w:rPr>
          <w:rFonts w:eastAsia="Arial" w:cs="Arial"/>
          <w:color w:val="1A1A1A"/>
          <w:sz w:val="22"/>
          <w:szCs w:val="22"/>
        </w:rPr>
        <w:t>Environmental impact of AI compute and operation.</w:t>
      </w:r>
    </w:p>
    <w:p>
      <w:pPr>
        <w:pStyle w:val="ListParagraph"/>
        <w:numPr>
          <w:ilvl w:val="0"/>
          <w:numId w:val="1"/>
        </w:numPr>
        <w:spacing w:lineRule="exact" w:line="280" w:before="40" w:after="40"/>
        <w:rPr/>
      </w:pPr>
      <w:r>
        <w:rPr>
          <w:rFonts w:eastAsia="Arial" w:cs="Arial"/>
          <w:color w:val="1A1A1A"/>
          <w:sz w:val="22"/>
          <w:szCs w:val="22"/>
        </w:rPr>
        <w:t>Effects on trust in the customer’s sector or in AI more broadly.</w:t>
      </w:r>
    </w:p>
    <w:p>
      <w:pPr>
        <w:pStyle w:val="ListParagraph"/>
        <w:numPr>
          <w:ilvl w:val="0"/>
          <w:numId w:val="1"/>
        </w:numPr>
        <w:spacing w:lineRule="exact" w:line="280" w:before="40" w:after="40"/>
        <w:rPr/>
      </w:pPr>
      <w:r>
        <w:rPr>
          <w:rFonts w:eastAsia="Arial" w:cs="Arial"/>
          <w:color w:val="1A1A1A"/>
          <w:sz w:val="22"/>
          <w:szCs w:val="22"/>
        </w:rPr>
        <w:t>Cumulative effects — small per-interaction harms aggregated across many interactions.</w:t>
      </w:r>
    </w:p>
    <w:p>
      <w:pPr>
        <w:pStyle w:val="Normal"/>
        <w:spacing w:lineRule="exact" w:line="300" w:before="80" w:after="120"/>
        <w:rPr/>
      </w:pPr>
      <w:r>
        <w:rPr>
          <w:rFonts w:eastAsia="Arial" w:cs="Arial"/>
          <w:color w:val="1A1A1A"/>
          <w:sz w:val="22"/>
          <w:szCs w:val="22"/>
        </w:rPr>
        <w:t>Societal impact assessment is appropriately humble — aggregate effects are difficult to predict; AISIA documents what is known, what is uncertain, and what monitoring is in place.</w:t>
      </w:r>
    </w:p>
    <w:p>
      <w:pPr>
        <w:pStyle w:val="Heading1"/>
        <w:spacing w:before="360" w:after="180"/>
        <w:rPr/>
      </w:pPr>
      <w:r>
        <w:rPr>
          <w:rFonts w:eastAsia="Arial" w:cs="Arial" w:ascii="Arial" w:hAnsi="Arial"/>
          <w:b/>
          <w:bCs/>
          <w:color w:val="0000FF"/>
          <w:sz w:val="36"/>
          <w:szCs w:val="36"/>
        </w:rPr>
        <w:t>11. Coordination with DPIA</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an AI system involves personal data, AISIA and DPIA (under POL-010) are conducted in coordination.</w:t>
      </w:r>
    </w:p>
    <w:p>
      <w:pPr>
        <w:pStyle w:val="ListParagraph"/>
        <w:numPr>
          <w:ilvl w:val="0"/>
          <w:numId w:val="1"/>
        </w:numPr>
        <w:spacing w:lineRule="exact" w:line="280" w:before="40" w:after="40"/>
        <w:rPr/>
      </w:pPr>
      <w:r>
        <w:rPr>
          <w:rFonts w:eastAsia="Arial" w:cs="Arial"/>
          <w:color w:val="1A1A1A"/>
          <w:sz w:val="22"/>
          <w:szCs w:val="22"/>
        </w:rPr>
        <w:t>Both assessments are recorded; cross-references between AI-REG-AISIA-001 and the DPIA Register (REG-DPIA-001) are maintained.</w:t>
      </w:r>
    </w:p>
    <w:p>
      <w:pPr>
        <w:pStyle w:val="ListParagraph"/>
        <w:numPr>
          <w:ilvl w:val="0"/>
          <w:numId w:val="1"/>
        </w:numPr>
        <w:spacing w:lineRule="exact" w:line="280" w:before="40" w:after="40"/>
        <w:rPr/>
      </w:pPr>
      <w:r>
        <w:rPr>
          <w:rFonts w:eastAsia="Arial" w:cs="Arial"/>
          <w:color w:val="1A1A1A"/>
          <w:sz w:val="22"/>
          <w:szCs w:val="22"/>
        </w:rPr>
        <w:t>Where the assessments cover the same scope, a combined record is acceptable provided both standards’ requirements are met.</w:t>
      </w:r>
    </w:p>
    <w:p>
      <w:pPr>
        <w:pStyle w:val="Heading1"/>
        <w:spacing w:before="360" w:after="180"/>
        <w:rPr/>
      </w:pPr>
      <w:r>
        <w:rPr>
          <w:rFonts w:eastAsia="Arial" w:cs="Arial" w:ascii="Arial" w:hAnsi="Arial"/>
          <w:b/>
          <w:bCs/>
          <w:color w:val="0000FF"/>
          <w:sz w:val="36"/>
          <w:szCs w:val="36"/>
        </w:rPr>
        <w:t>12. Outcomes and Action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outputs feed AI risk treatment (AIMS-RTP-001), the AI System Lifecycle Procedure (AI-PRO-001), and operational monitoring (cross-reference to AI-PROG-COMP-001).</w:t>
      </w:r>
    </w:p>
    <w:p>
      <w:pPr>
        <w:pStyle w:val="ListParagraph"/>
        <w:numPr>
          <w:ilvl w:val="0"/>
          <w:numId w:val="1"/>
        </w:numPr>
        <w:spacing w:lineRule="exact" w:line="280" w:before="40" w:after="40"/>
        <w:rPr/>
      </w:pPr>
      <w:r>
        <w:rPr>
          <w:rFonts w:eastAsia="Arial" w:cs="Arial"/>
          <w:color w:val="1A1A1A"/>
          <w:sz w:val="22"/>
          <w:szCs w:val="22"/>
        </w:rPr>
        <w:t>Where AISIA identifies residual impact above the acceptance threshold, deployment is delayed pending further mitigation or escalation to the CEO.</w:t>
      </w:r>
    </w:p>
    <w:p>
      <w:pPr>
        <w:pStyle w:val="ListParagraph"/>
        <w:numPr>
          <w:ilvl w:val="0"/>
          <w:numId w:val="1"/>
        </w:numPr>
        <w:spacing w:lineRule="exact" w:line="280" w:before="40" w:after="40"/>
        <w:rPr/>
      </w:pPr>
      <w:r>
        <w:rPr>
          <w:rFonts w:eastAsia="Arial" w:cs="Arial"/>
          <w:color w:val="1A1A1A"/>
          <w:sz w:val="22"/>
          <w:szCs w:val="22"/>
        </w:rPr>
        <w:t>Where AISIA identifies regulatory or customer notification implications, the relevant procedures (PRO-024, AI-PLAN-IRP-001) are invoked.</w:t>
      </w:r>
    </w:p>
    <w:p>
      <w:pPr>
        <w:pStyle w:val="Heading1"/>
        <w:spacing w:before="360" w:after="180"/>
        <w:rPr/>
      </w:pPr>
      <w:r>
        <w:rPr>
          <w:rFonts w:eastAsia="Arial" w:cs="Arial" w:ascii="Arial" w:hAnsi="Arial"/>
          <w:b/>
          <w:bCs/>
          <w:color w:val="0000FF"/>
          <w:sz w:val="36"/>
          <w:szCs w:val="36"/>
        </w:rPr>
        <w:t>13. Records and Review</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records are held in AI-REG-AISIA-001.</w:t>
      </w:r>
    </w:p>
    <w:p>
      <w:pPr>
        <w:pStyle w:val="ListParagraph"/>
        <w:numPr>
          <w:ilvl w:val="0"/>
          <w:numId w:val="1"/>
        </w:numPr>
        <w:spacing w:lineRule="exact" w:line="280" w:before="40" w:after="40"/>
        <w:rPr/>
      </w:pPr>
      <w:r>
        <w:rPr>
          <w:rFonts w:eastAsia="Arial" w:cs="Arial"/>
          <w:color w:val="1A1A1A"/>
          <w:sz w:val="22"/>
          <w:szCs w:val="22"/>
        </w:rPr>
        <w:t>Each AISIA is reviewed at the date set in its record, on material change to the AI system, or following relevant incidents.</w:t>
      </w:r>
    </w:p>
    <w:p>
      <w:pPr>
        <w:pStyle w:val="ListParagraph"/>
        <w:numPr>
          <w:ilvl w:val="0"/>
          <w:numId w:val="1"/>
        </w:numPr>
        <w:spacing w:lineRule="exact" w:line="280" w:before="40" w:after="40"/>
        <w:rPr/>
      </w:pPr>
      <w:r>
        <w:rPr>
          <w:rFonts w:eastAsia="Arial" w:cs="Arial"/>
          <w:color w:val="1A1A1A"/>
          <w:sz w:val="22"/>
          <w:szCs w:val="22"/>
        </w:rPr>
        <w:t>Records are retained per POL-009 — minimum 6 years from closure.</w:t>
      </w:r>
    </w:p>
    <w:p>
      <w:pPr>
        <w:pStyle w:val="Heading1"/>
        <w:spacing w:before="360" w:after="180"/>
        <w:rPr/>
      </w:pPr>
      <w:r>
        <w:rPr>
          <w:rFonts w:eastAsia="Arial" w:cs="Arial" w:ascii="Arial" w:hAnsi="Arial"/>
          <w:b/>
          <w:bCs/>
          <w:color w:val="0000FF"/>
          <w:sz w:val="36"/>
          <w:szCs w:val="36"/>
        </w:rPr>
        <w:t>14. Compliance Monitoring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AISIA compliance is monitored under AI-PROG-COMP-001 and audited under AI-PROG-AUDIT-001.</w:t>
      </w:r>
    </w:p>
    <w:p>
      <w:pPr>
        <w:pStyle w:val="ListParagraph"/>
        <w:numPr>
          <w:ilvl w:val="0"/>
          <w:numId w:val="1"/>
        </w:numPr>
        <w:spacing w:lineRule="exact" w:line="280" w:before="40" w:after="40"/>
        <w:rPr/>
      </w:pPr>
      <w:r>
        <w:rPr>
          <w:rFonts w:eastAsia="Arial" w:cs="Arial"/>
          <w:color w:val="1A1A1A"/>
          <w:sz w:val="22"/>
          <w:szCs w:val="22"/>
        </w:rPr>
        <w:t>Auditors will typically sample recent AI features and ask for the corresponding AISIA evidence.</w:t>
      </w:r>
    </w:p>
    <w:p>
      <w:pPr>
        <w:pStyle w:val="Heading1"/>
        <w:spacing w:before="360" w:after="180"/>
        <w:rPr/>
      </w:pPr>
      <w:r>
        <w:rPr>
          <w:rFonts w:eastAsia="Arial" w:cs="Arial" w:ascii="Arial" w:hAnsi="Arial"/>
          <w:b/>
          <w:bCs/>
          <w:color w:val="0000FF"/>
          <w:sz w:val="36"/>
          <w:szCs w:val="36"/>
        </w:rPr>
        <w:t>15.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 to AISIA practice or regulatory expectations.</w:t>
      </w:r>
    </w:p>
    <w:p>
      <w:pPr>
        <w:pStyle w:val="Heading1"/>
        <w:spacing w:before="360" w:after="180"/>
        <w:rPr/>
      </w:pPr>
      <w:r>
        <w:rPr>
          <w:rFonts w:eastAsia="Arial" w:cs="Arial" w:ascii="Arial" w:hAnsi="Arial"/>
          <w:b/>
          <w:bCs/>
          <w:color w:val="0000FF"/>
          <w:sz w:val="36"/>
          <w:szCs w:val="36"/>
        </w:rPr>
        <w:t>16.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involved in AISIA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ISO/IEC 42001:2023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42001:2023 Annex A controls, as recorded in the Cloudax AIMS Statement of Applicability (AIMS-SOA-001 v1.0).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A.5.2</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AI system impact assessment process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A.5.3</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Documentation of AI system impact assessments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Assessing AI system impact on individuals or groups of individuals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A.5.5</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Assessing societal impacts of AI systems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42001:2023 and Cloudax AIMS Statement of Applicability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AI-POL-004 AI System Impact Assessment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AI-POL-004 AI System Impact Assessment Policy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2026-04-23T07:35:26Z</dcterms:created>
  <dc:creator>David Stokes</dc:creator>
  <dc:description/>
  <dc:language>en-US</dc:language>
  <cp:lastModifiedBy>David Stokes</cp:lastModifiedBy>
  <dcterms:modified xsi:type="dcterms:W3CDTF">2026-04-23T09:02:26Z</dcterms:modified>
  <cp:revision>1</cp:revision>
  <dc:subject/>
  <dc:title>Cloudax AI System Impact Assessment Policy</dc:title>
</cp:coreProperties>
</file>

<file path=docProps/custom.xml><?xml version="1.0" encoding="utf-8"?>
<Properties xmlns="http://schemas.openxmlformats.org/officeDocument/2006/custom-properties" xmlns:vt="http://schemas.openxmlformats.org/officeDocument/2006/docPropsVTypes"/>
</file>