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Internal AI Organization Policy</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AI-POL-002</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Internal AI Organization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AIMS Roles</w:t>
      </w:r>
    </w:p>
    <w:p>
      <w:pPr>
        <w:pStyle w:val="Normal"/>
        <w:spacing w:before="40" w:after="40"/>
        <w:rPr/>
      </w:pPr>
      <w:r>
        <w:rPr>
          <w:rFonts w:eastAsia="Arial" w:cs="Arial"/>
          <w:color w:val="1A1A1A"/>
          <w:sz w:val="22"/>
          <w:szCs w:val="22"/>
        </w:rPr>
        <w:t>6. AI Decision Authority</w:t>
      </w:r>
    </w:p>
    <w:p>
      <w:pPr>
        <w:pStyle w:val="Normal"/>
        <w:spacing w:before="40" w:after="40"/>
        <w:rPr/>
      </w:pPr>
      <w:r>
        <w:rPr>
          <w:rFonts w:eastAsia="Arial" w:cs="Arial"/>
          <w:color w:val="1A1A1A"/>
          <w:sz w:val="22"/>
          <w:szCs w:val="22"/>
        </w:rPr>
        <w:t>7. Segregation of AI-Related Duties</w:t>
      </w:r>
    </w:p>
    <w:p>
      <w:pPr>
        <w:pStyle w:val="Normal"/>
        <w:spacing w:before="40" w:after="40"/>
        <w:rPr/>
      </w:pPr>
      <w:r>
        <w:rPr>
          <w:rFonts w:eastAsia="Arial" w:cs="Arial"/>
          <w:color w:val="1A1A1A"/>
          <w:sz w:val="22"/>
          <w:szCs w:val="22"/>
        </w:rPr>
        <w:t>8. Reporting of AI Concerns</w:t>
      </w:r>
    </w:p>
    <w:p>
      <w:pPr>
        <w:pStyle w:val="Normal"/>
        <w:spacing w:before="40" w:after="40"/>
        <w:rPr/>
      </w:pPr>
      <w:r>
        <w:rPr>
          <w:rFonts w:eastAsia="Arial" w:cs="Arial"/>
          <w:color w:val="1A1A1A"/>
          <w:sz w:val="22"/>
          <w:szCs w:val="22"/>
        </w:rPr>
        <w:t>9. Coordination with the ISMS</w:t>
      </w:r>
    </w:p>
    <w:p>
      <w:pPr>
        <w:pStyle w:val="Normal"/>
        <w:spacing w:before="40" w:after="40"/>
        <w:rPr/>
      </w:pPr>
      <w:r>
        <w:rPr>
          <w:rFonts w:eastAsia="Arial" w:cs="Arial"/>
          <w:color w:val="1A1A1A"/>
          <w:sz w:val="22"/>
          <w:szCs w:val="22"/>
        </w:rPr>
        <w:t>10. Relationship with Third Parties</w:t>
      </w:r>
    </w:p>
    <w:p>
      <w:pPr>
        <w:pStyle w:val="Normal"/>
        <w:spacing w:before="40" w:after="40"/>
        <w:rPr/>
      </w:pPr>
      <w:r>
        <w:rPr>
          <w:rFonts w:eastAsia="Arial" w:cs="Arial"/>
          <w:color w:val="1A1A1A"/>
          <w:sz w:val="22"/>
          <w:szCs w:val="22"/>
        </w:rPr>
        <w:t>11. Records</w:t>
      </w:r>
    </w:p>
    <w:p>
      <w:pPr>
        <w:pStyle w:val="Normal"/>
        <w:spacing w:before="40" w:after="40"/>
        <w:rPr/>
      </w:pPr>
      <w:r>
        <w:rPr>
          <w:rFonts w:eastAsia="Arial" w:cs="Arial"/>
          <w:color w:val="1A1A1A"/>
          <w:sz w:val="22"/>
          <w:szCs w:val="22"/>
        </w:rPr>
        <w:t>12. Compliance Monitoring</w:t>
      </w:r>
    </w:p>
    <w:p>
      <w:pPr>
        <w:pStyle w:val="Normal"/>
        <w:spacing w:before="40" w:after="40"/>
        <w:rPr/>
      </w:pPr>
      <w:r>
        <w:rPr>
          <w:rFonts w:eastAsia="Arial" w:cs="Arial"/>
          <w:color w:val="1A1A1A"/>
          <w:sz w:val="22"/>
          <w:szCs w:val="22"/>
        </w:rPr>
        <w:t>13. Maintenance</w:t>
      </w:r>
    </w:p>
    <w:p>
      <w:pPr>
        <w:pStyle w:val="Normal"/>
        <w:spacing w:before="40" w:after="40"/>
        <w:rPr/>
      </w:pPr>
      <w:r>
        <w:rPr>
          <w:rFonts w:eastAsia="Arial" w:cs="Arial"/>
          <w:color w:val="1A1A1A"/>
          <w:sz w:val="22"/>
          <w:szCs w:val="22"/>
        </w:rPr>
        <w:t>14. Acknowledgement</w:t>
      </w:r>
    </w:p>
    <w:p>
      <w:pPr>
        <w:pStyle w:val="Normal"/>
        <w:spacing w:before="40" w:after="40"/>
        <w:rPr/>
      </w:pPr>
      <w:r>
        <w:rPr>
          <w:rFonts w:eastAsia="Arial" w:cs="Arial"/>
          <w:color w:val="1A1A1A"/>
          <w:sz w:val="22"/>
          <w:szCs w:val="22"/>
        </w:rPr>
        <w:t>Annex A — ISO/IEC 42001:2023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establishes the internal organisation supporting the Cloudax AI Management System (AIMS). It defines AI roles, decision authority, segregation of duties, and the reporting of AI concerns.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A.3.2 AI roles and responsibilities; A.3.3 Reporting of concerns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Cloudax personnel and to third parties acting on behalf of Cloudax in respect of AI systems within the AIMS scope (AIMS-SCOPE-001).</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AI role: </w:t>
      </w:r>
      <w:r>
        <w:rPr>
          <w:rFonts w:eastAsia="Arial" w:cs="Arial"/>
          <w:color w:val="1A1A1A"/>
          <w:sz w:val="22"/>
          <w:szCs w:val="22"/>
        </w:rPr>
        <w:t>a defined role within the AIMS with named accountability for an aspect of AI governance, development, operation, or use.</w:t>
      </w:r>
    </w:p>
    <w:p>
      <w:pPr>
        <w:pStyle w:val="ListParagraph"/>
        <w:numPr>
          <w:ilvl w:val="0"/>
          <w:numId w:val="1"/>
        </w:numPr>
        <w:spacing w:lineRule="exact" w:line="280" w:before="40" w:after="40"/>
        <w:rPr/>
      </w:pPr>
      <w:r>
        <w:rPr>
          <w:rFonts w:eastAsia="Arial" w:cs="Arial"/>
          <w:b/>
          <w:bCs/>
          <w:color w:val="1A1A1A"/>
          <w:sz w:val="22"/>
          <w:szCs w:val="22"/>
        </w:rPr>
        <w:t xml:space="preserve">Concern: </w:t>
      </w:r>
      <w:r>
        <w:rPr>
          <w:rFonts w:eastAsia="Arial" w:cs="Arial"/>
          <w:color w:val="1A1A1A"/>
          <w:sz w:val="22"/>
          <w:szCs w:val="22"/>
        </w:rPr>
        <w:t>an observation or report of behaviour, design, or outcome inconsistent with the AI Policy or with responsible AI practice.</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Accountability is named, not abstract — every AI activity has a named accountable role.</w:t>
      </w:r>
    </w:p>
    <w:p>
      <w:pPr>
        <w:pStyle w:val="ListParagraph"/>
        <w:numPr>
          <w:ilvl w:val="0"/>
          <w:numId w:val="1"/>
        </w:numPr>
        <w:spacing w:lineRule="exact" w:line="280" w:before="40" w:after="40"/>
        <w:rPr/>
      </w:pPr>
      <w:r>
        <w:rPr>
          <w:rFonts w:eastAsia="Arial" w:cs="Arial"/>
          <w:color w:val="1A1A1A"/>
          <w:sz w:val="22"/>
          <w:szCs w:val="22"/>
        </w:rPr>
        <w:t>Independence where it matters — AI decisions with material impact are taken with appropriate separation between the requester and the approver.</w:t>
      </w:r>
    </w:p>
    <w:p>
      <w:pPr>
        <w:pStyle w:val="ListParagraph"/>
        <w:numPr>
          <w:ilvl w:val="0"/>
          <w:numId w:val="1"/>
        </w:numPr>
        <w:spacing w:lineRule="exact" w:line="280" w:before="40" w:after="40"/>
        <w:rPr/>
      </w:pPr>
      <w:r>
        <w:rPr>
          <w:rFonts w:eastAsia="Arial" w:cs="Arial"/>
          <w:color w:val="1A1A1A"/>
          <w:sz w:val="22"/>
          <w:szCs w:val="22"/>
        </w:rPr>
        <w:t>Concerns are heard — personnel can raise AI concerns without fear of disadvantage.</w:t>
      </w:r>
    </w:p>
    <w:p>
      <w:pPr>
        <w:pStyle w:val="ListParagraph"/>
        <w:numPr>
          <w:ilvl w:val="0"/>
          <w:numId w:val="1"/>
        </w:numPr>
        <w:spacing w:lineRule="exact" w:line="280" w:before="40" w:after="40"/>
        <w:rPr/>
      </w:pPr>
      <w:r>
        <w:rPr>
          <w:rFonts w:eastAsia="Arial" w:cs="Arial"/>
          <w:color w:val="1A1A1A"/>
          <w:sz w:val="22"/>
          <w:szCs w:val="22"/>
        </w:rPr>
        <w:t>Roles are right-sized — Cloudax’s small team means roles are combined; the accountabilities remain distinct.</w:t>
      </w:r>
    </w:p>
    <w:p>
      <w:pPr>
        <w:pStyle w:val="Heading1"/>
        <w:spacing w:before="360" w:after="180"/>
        <w:rPr/>
      </w:pPr>
      <w:r>
        <w:rPr>
          <w:rFonts w:eastAsia="Arial" w:cs="Arial" w:ascii="Arial" w:hAnsi="Arial"/>
          <w:b/>
          <w:bCs/>
          <w:color w:val="0000FF"/>
          <w:sz w:val="36"/>
          <w:szCs w:val="36"/>
        </w:rPr>
        <w:t>5. AIMS Roles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roles operate within the AIMS. At Cloudax’s current size, multiple roles may be held by the same individual; the accountability for each is recorded distinctly in the RACI matrix (AI-MGT-RACI-001).</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ROLE</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PRINCIPAL ACCOUNTABILITIES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Executive Officer</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Ultimate accountability for the AIMS. Approves AI-POL-001, AIMS-SOA-001, AIMS-OBJ-001. Accepts Critical residual AI risk. Authorises material customer / regulator engagement.</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 Governance Lead</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Day-to-day ownership of the AIMS, the AI policy framework, AI risk management, AISIA process, AI incident response coordination, AIMS audit and management review preparation. May be combined with the Information Security Manager role.</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Technology Officer</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Technical accountability for AI system design, development, deployment, operation, and decommissioning. Owns AI-POL-005 (Lifecycle) and AI-POL-006 (Data). Authorises platform AI changes.</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Privacy Lead</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Accountability for personal data and data subject impact in AI systems. Co-owns AI-POL-004 (Impact Assessment) with the AI Governance Lead. Coordinates with the existing Privacy Policy (POL-010).</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 Builders (engineering, ML)</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Apply this Policy and the AI System Lifecycle Policy in their work. Raise AI concerns through this Policy or PRO-027.</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Customer-facing leads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Communicate AI capabilities and limitations to customers. Coordinate customer notification during AI incidents.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Line managers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Ensure team members complete AI training; raise concerns to the AI Governance Lead.</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All personnel</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Comply with the AI Policy; complete required training; raise AI concerns through Section 8.</w:t>
            </w:r>
          </w:p>
        </w:tc>
      </w:tr>
    </w:tbl>
    <w:p>
      <w:pPr>
        <w:pStyle w:val="Heading1"/>
        <w:spacing w:before="360" w:after="180"/>
        <w:rPr/>
      </w:pPr>
      <w:r>
        <w:rPr>
          <w:rFonts w:eastAsia="Arial" w:cs="Arial" w:ascii="Arial" w:hAnsi="Arial"/>
          <w:b/>
          <w:bCs/>
          <w:color w:val="0000FF"/>
          <w:sz w:val="36"/>
          <w:szCs w:val="36"/>
        </w:rPr>
        <w:t>6. AI Decision Authority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Authority for material AI decisions is summarised below. Detailed RACI is in AI-MGT-RACI-001.</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4500"/>
        <w:gridCol w:w="4525"/>
      </w:tblGrid>
      <w:tr>
        <w:trPr>
          <w:tblHeader w:val="true"/>
        </w:trPr>
        <w:tc>
          <w:tcPr>
            <w:tcW w:w="4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DECISION</w:t>
            </w:r>
          </w:p>
        </w:tc>
        <w:tc>
          <w:tcPr>
            <w:tcW w:w="45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AUTHORITY</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Approve AI-POL-001, AIMS-SCOPE-001, AIMS-SOA-001, AIMS-OBJ-001</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Executive Officer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subordinate AI policies (AI-POL-002 to AI-POL-010) and procedures</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Chief Executive Officer</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Accept Critical residual AI risk</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Executive Officer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Accept High residual AI risk</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Governance Lead</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Accept Moderate residual AI risk</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Risk owner (with AI Governance Lead awareness)</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AISIA outputs and treatments</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Governance Lead (with CEO for high-impact)</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Authorise activation of AI-PLAN-IRP-001</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Governance Lead (or CTO/CEO in absence)</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Authorise deployment of new AI feature to production</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CTO with AI Governance Lead AISIA sign-off</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Authorise material change to a production AI system</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CTO; AI Governance Lead consulted; AISIA refresh as needed</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onboarding of a new third-party AI provider</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Governance Lead with CTO and Privacy Lead consulted</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Authorise external communication on a material AI incident</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Executive Officer</w:t>
            </w:r>
          </w:p>
        </w:tc>
      </w:tr>
    </w:tbl>
    <w:p>
      <w:pPr>
        <w:pStyle w:val="Heading1"/>
        <w:spacing w:before="360" w:after="180"/>
        <w:rPr/>
      </w:pPr>
      <w:r>
        <w:rPr>
          <w:rFonts w:eastAsia="Arial" w:cs="Arial" w:ascii="Arial" w:hAnsi="Arial"/>
          <w:b/>
          <w:bCs/>
          <w:color w:val="0000FF"/>
          <w:sz w:val="36"/>
          <w:szCs w:val="36"/>
        </w:rPr>
        <w:t>7. Segregation of AI-Related Duties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Segregation of duties addresses risk arising from concentration of AI control in one role. Cloudax operates the following segregations:</w:t>
      </w:r>
    </w:p>
    <w:p>
      <w:pPr>
        <w:pStyle w:val="ListParagraph"/>
        <w:numPr>
          <w:ilvl w:val="0"/>
          <w:numId w:val="1"/>
        </w:numPr>
        <w:spacing w:lineRule="exact" w:line="280" w:before="40" w:after="40"/>
        <w:rPr/>
      </w:pPr>
      <w:r>
        <w:rPr>
          <w:rFonts w:eastAsia="Arial" w:cs="Arial"/>
          <w:color w:val="1A1A1A"/>
          <w:sz w:val="22"/>
          <w:szCs w:val="22"/>
        </w:rPr>
        <w:t>AI feature development is performed by engineers who do not solo-approve their own deployment to production.</w:t>
      </w:r>
    </w:p>
    <w:p>
      <w:pPr>
        <w:pStyle w:val="ListParagraph"/>
        <w:numPr>
          <w:ilvl w:val="0"/>
          <w:numId w:val="1"/>
        </w:numPr>
        <w:spacing w:lineRule="exact" w:line="280" w:before="40" w:after="40"/>
        <w:rPr/>
      </w:pPr>
      <w:r>
        <w:rPr>
          <w:rFonts w:eastAsia="Arial" w:cs="Arial"/>
          <w:color w:val="1A1A1A"/>
          <w:sz w:val="22"/>
          <w:szCs w:val="22"/>
        </w:rPr>
        <w:t>AISIA for an AI feature is approved by the AI Governance Lead, who is not the engineer who built the feature.</w:t>
      </w:r>
    </w:p>
    <w:p>
      <w:pPr>
        <w:pStyle w:val="ListParagraph"/>
        <w:numPr>
          <w:ilvl w:val="0"/>
          <w:numId w:val="1"/>
        </w:numPr>
        <w:spacing w:lineRule="exact" w:line="280" w:before="40" w:after="40"/>
        <w:rPr/>
      </w:pPr>
      <w:r>
        <w:rPr>
          <w:rFonts w:eastAsia="Arial" w:cs="Arial"/>
          <w:color w:val="1A1A1A"/>
          <w:sz w:val="22"/>
          <w:szCs w:val="22"/>
        </w:rPr>
        <w:t>Risk acceptance is at a level above the risk owner where the risk band is High or above.</w:t>
      </w:r>
    </w:p>
    <w:p>
      <w:pPr>
        <w:pStyle w:val="ListParagraph"/>
        <w:numPr>
          <w:ilvl w:val="0"/>
          <w:numId w:val="1"/>
        </w:numPr>
        <w:spacing w:lineRule="exact" w:line="280" w:before="40" w:after="40"/>
        <w:rPr/>
      </w:pPr>
      <w:r>
        <w:rPr>
          <w:rFonts w:eastAsia="Arial" w:cs="Arial"/>
          <w:color w:val="1A1A1A"/>
          <w:sz w:val="22"/>
          <w:szCs w:val="22"/>
        </w:rPr>
        <w:t>AI audits are conducted by a person other than the AIMS owner; where in-house separation is not feasible, an external auditor is engaged.</w:t>
      </w:r>
    </w:p>
    <w:p>
      <w:pPr>
        <w:pStyle w:val="ListParagraph"/>
        <w:numPr>
          <w:ilvl w:val="0"/>
          <w:numId w:val="1"/>
        </w:numPr>
        <w:spacing w:lineRule="exact" w:line="280" w:before="40" w:after="40"/>
        <w:rPr/>
      </w:pPr>
      <w:r>
        <w:rPr>
          <w:rFonts w:eastAsia="Arial" w:cs="Arial"/>
          <w:color w:val="1A1A1A"/>
          <w:sz w:val="22"/>
          <w:szCs w:val="22"/>
        </w:rPr>
        <w:t>Where the AI Governance Lead and the Information Security Manager are the same individual, they apply explicit separation when an activity requires both perspectives — e.g. an AI-related security incident.</w:t>
      </w:r>
    </w:p>
    <w:p>
      <w:pPr>
        <w:pStyle w:val="Heading1"/>
        <w:spacing w:before="360" w:after="180"/>
        <w:rPr/>
      </w:pPr>
      <w:r>
        <w:rPr>
          <w:rFonts w:eastAsia="Arial" w:cs="Arial" w:ascii="Arial" w:hAnsi="Arial"/>
          <w:b/>
          <w:bCs/>
          <w:color w:val="0000FF"/>
          <w:sz w:val="36"/>
          <w:szCs w:val="36"/>
        </w:rPr>
        <w:t>8. Reporting of AI Concerns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Personnel can raise AI concerns through any of the following channels:</w:t>
      </w:r>
    </w:p>
    <w:p>
      <w:pPr>
        <w:pStyle w:val="ListParagraph"/>
        <w:numPr>
          <w:ilvl w:val="0"/>
          <w:numId w:val="1"/>
        </w:numPr>
        <w:spacing w:lineRule="exact" w:line="280" w:before="40" w:after="40"/>
        <w:rPr/>
      </w:pPr>
      <w:r>
        <w:rPr>
          <w:rFonts w:eastAsia="Arial" w:cs="Arial"/>
          <w:color w:val="1A1A1A"/>
          <w:sz w:val="22"/>
          <w:szCs w:val="22"/>
        </w:rPr>
        <w:t>Direct to the AI Governance Lead, by any communication channel.</w:t>
      </w:r>
    </w:p>
    <w:p>
      <w:pPr>
        <w:pStyle w:val="ListParagraph"/>
        <w:numPr>
          <w:ilvl w:val="0"/>
          <w:numId w:val="1"/>
        </w:numPr>
        <w:spacing w:lineRule="exact" w:line="280" w:before="40" w:after="40"/>
        <w:rPr/>
      </w:pPr>
      <w:r>
        <w:rPr>
          <w:rFonts w:eastAsia="Arial" w:cs="Arial"/>
          <w:color w:val="1A1A1A"/>
          <w:sz w:val="22"/>
          <w:szCs w:val="22"/>
        </w:rPr>
        <w:t>Direct to the Chief Technology Officer (technical concerns) or the Privacy Lead (privacy concerns).</w:t>
      </w:r>
    </w:p>
    <w:p>
      <w:pPr>
        <w:pStyle w:val="ListParagraph"/>
        <w:numPr>
          <w:ilvl w:val="0"/>
          <w:numId w:val="1"/>
        </w:numPr>
        <w:spacing w:lineRule="exact" w:line="280" w:before="40" w:after="40"/>
        <w:rPr/>
      </w:pPr>
      <w:r>
        <w:rPr>
          <w:rFonts w:eastAsia="Arial" w:cs="Arial"/>
          <w:color w:val="1A1A1A"/>
          <w:sz w:val="22"/>
          <w:szCs w:val="22"/>
        </w:rPr>
        <w:t>Through the existing event reporting channel (PRO-027).</w:t>
      </w:r>
    </w:p>
    <w:p>
      <w:pPr>
        <w:pStyle w:val="ListParagraph"/>
        <w:numPr>
          <w:ilvl w:val="0"/>
          <w:numId w:val="1"/>
        </w:numPr>
        <w:spacing w:lineRule="exact" w:line="280" w:before="40" w:after="40"/>
        <w:rPr/>
      </w:pPr>
      <w:r>
        <w:rPr>
          <w:rFonts w:eastAsia="Arial" w:cs="Arial"/>
          <w:color w:val="1A1A1A"/>
          <w:sz w:val="22"/>
          <w:szCs w:val="22"/>
        </w:rPr>
        <w:t>To the Chief Executive Officer, where concerns relate to the AI Governance Lead or to senior decision-making.</w:t>
      </w:r>
    </w:p>
    <w:p>
      <w:pPr>
        <w:pStyle w:val="ListParagraph"/>
        <w:numPr>
          <w:ilvl w:val="0"/>
          <w:numId w:val="1"/>
        </w:numPr>
        <w:spacing w:lineRule="exact" w:line="280" w:before="40" w:after="40"/>
        <w:rPr/>
      </w:pPr>
      <w:r>
        <w:rPr>
          <w:rFonts w:eastAsia="Arial" w:cs="Arial"/>
          <w:color w:val="1A1A1A"/>
          <w:sz w:val="22"/>
          <w:szCs w:val="22"/>
        </w:rPr>
        <w:t>Through Cloudax’s whistleblowing arrangements where concerns relate to potential breach of law or ethics.</w:t>
      </w:r>
    </w:p>
    <w:p>
      <w:pPr>
        <w:pStyle w:val="Normal"/>
        <w:spacing w:lineRule="exact" w:line="300" w:before="80" w:after="120"/>
        <w:rPr/>
      </w:pPr>
      <w:r>
        <w:rPr>
          <w:rFonts w:eastAsia="Arial" w:cs="Arial"/>
          <w:color w:val="1A1A1A"/>
          <w:sz w:val="22"/>
          <w:szCs w:val="22"/>
        </w:rPr>
        <w:t>Personnel raising concerns in good faith are not subject to disadvantage. Retaliation for raising a concern is itself a serious breach (POL-011).</w:t>
      </w:r>
    </w:p>
    <w:p>
      <w:pPr>
        <w:pStyle w:val="Normal"/>
        <w:spacing w:lineRule="exact" w:line="300" w:before="80" w:after="120"/>
        <w:rPr/>
      </w:pPr>
      <w:r>
        <w:rPr>
          <w:rFonts w:eastAsia="Arial" w:cs="Arial"/>
          <w:color w:val="1A1A1A"/>
          <w:sz w:val="22"/>
          <w:szCs w:val="22"/>
        </w:rPr>
        <w:t>Concerns are recorded; the AI Governance Lead determines whether further action is required and reports trends to AIMS management review.</w:t>
      </w:r>
    </w:p>
    <w:p>
      <w:pPr>
        <w:pStyle w:val="Heading1"/>
        <w:spacing w:before="360" w:after="180"/>
        <w:rPr/>
      </w:pPr>
      <w:r>
        <w:rPr>
          <w:rFonts w:eastAsia="Arial" w:cs="Arial" w:ascii="Arial" w:hAnsi="Arial"/>
          <w:b/>
          <w:bCs/>
          <w:color w:val="0000FF"/>
          <w:sz w:val="36"/>
          <w:szCs w:val="36"/>
        </w:rPr>
        <w:t>9. Coordination with the ISMS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AIMS roles operate alongside ISMS roles. Where the same individual holds both an AIMS and an ISMS role, they act distinctly in each capacity. The AIMS RACI (AI-MGT-RACI-001) is reconciled with the ISMS RACI (ISMS-RACI-001).</w:t>
      </w:r>
    </w:p>
    <w:p>
      <w:pPr>
        <w:pStyle w:val="Heading1"/>
        <w:spacing w:before="360" w:after="180"/>
        <w:rPr/>
      </w:pPr>
      <w:r>
        <w:rPr>
          <w:rFonts w:eastAsia="Arial" w:cs="Arial" w:ascii="Arial" w:hAnsi="Arial"/>
          <w:b/>
          <w:bCs/>
          <w:color w:val="0000FF"/>
          <w:sz w:val="36"/>
          <w:szCs w:val="36"/>
        </w:rPr>
        <w:t>10. Relationship with Third Parties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Third parties acting on behalf of Cloudax in respect of AI systems are bound by this Policy through contract, with the AI-related responsibilities recorded in the AI-REG-3P-001 Third-Party AI Provider Register and the contract.</w:t>
      </w:r>
    </w:p>
    <w:p>
      <w:pPr>
        <w:pStyle w:val="Heading1"/>
        <w:spacing w:before="360" w:after="180"/>
        <w:rPr/>
      </w:pPr>
      <w:r>
        <w:rPr>
          <w:rFonts w:eastAsia="Arial" w:cs="Arial" w:ascii="Arial" w:hAnsi="Arial"/>
          <w:b/>
          <w:bCs/>
          <w:color w:val="0000FF"/>
          <w:sz w:val="36"/>
          <w:szCs w:val="36"/>
        </w:rPr>
        <w:t>11. Records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AIMS roles and accountabilities are recorded in AI-MGT-RACI-001.</w:t>
      </w:r>
    </w:p>
    <w:p>
      <w:pPr>
        <w:pStyle w:val="ListParagraph"/>
        <w:numPr>
          <w:ilvl w:val="0"/>
          <w:numId w:val="1"/>
        </w:numPr>
        <w:spacing w:lineRule="exact" w:line="280" w:before="40" w:after="40"/>
        <w:rPr/>
      </w:pPr>
      <w:r>
        <w:rPr>
          <w:rFonts w:eastAsia="Arial" w:cs="Arial"/>
          <w:color w:val="1A1A1A"/>
          <w:sz w:val="22"/>
          <w:szCs w:val="22"/>
        </w:rPr>
        <w:t>AI concerns raised under Section 8 are recorded in the AIMS event log.</w:t>
      </w:r>
    </w:p>
    <w:p>
      <w:pPr>
        <w:pStyle w:val="ListParagraph"/>
        <w:numPr>
          <w:ilvl w:val="0"/>
          <w:numId w:val="1"/>
        </w:numPr>
        <w:spacing w:lineRule="exact" w:line="280" w:before="40" w:after="40"/>
        <w:rPr/>
      </w:pPr>
      <w:r>
        <w:rPr>
          <w:rFonts w:eastAsia="Arial" w:cs="Arial"/>
          <w:color w:val="1A1A1A"/>
          <w:sz w:val="22"/>
          <w:szCs w:val="22"/>
        </w:rPr>
        <w:t>Material concerns are reported to AIMS management review (AI-MGT-MR-LOG).</w:t>
      </w:r>
    </w:p>
    <w:p>
      <w:pPr>
        <w:pStyle w:val="Heading1"/>
        <w:spacing w:before="360" w:after="180"/>
        <w:rPr/>
      </w:pPr>
      <w:r>
        <w:rPr>
          <w:rFonts w:eastAsia="Arial" w:cs="Arial" w:ascii="Arial" w:hAnsi="Arial"/>
          <w:b/>
          <w:bCs/>
          <w:color w:val="0000FF"/>
          <w:sz w:val="36"/>
          <w:szCs w:val="36"/>
        </w:rPr>
        <w:t>12. Compliance Monitoring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Compliance is monitored under AI-PROG-COMP-001 and audited under AI-PROG-AUDIT-001.</w:t>
      </w:r>
    </w:p>
    <w:p>
      <w:pPr>
        <w:pStyle w:val="ListParagraph"/>
        <w:numPr>
          <w:ilvl w:val="0"/>
          <w:numId w:val="1"/>
        </w:numPr>
        <w:spacing w:lineRule="exact" w:line="280" w:before="40" w:after="40"/>
        <w:rPr/>
      </w:pPr>
      <w:r>
        <w:rPr>
          <w:rFonts w:eastAsia="Arial" w:cs="Arial"/>
          <w:color w:val="1A1A1A"/>
          <w:sz w:val="22"/>
          <w:szCs w:val="22"/>
        </w:rPr>
        <w:t>Findings are recorded in REG-CAR-001.</w:t>
      </w:r>
    </w:p>
    <w:p>
      <w:pPr>
        <w:pStyle w:val="Heading1"/>
        <w:spacing w:before="360" w:after="180"/>
        <w:rPr/>
      </w:pPr>
      <w:r>
        <w:rPr>
          <w:rFonts w:eastAsia="Arial" w:cs="Arial" w:ascii="Arial" w:hAnsi="Arial"/>
          <w:b/>
          <w:bCs/>
          <w:color w:val="0000FF"/>
          <w:sz w:val="36"/>
          <w:szCs w:val="36"/>
        </w:rPr>
        <w:t>13.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 to the operating model. Material changes are approved by the Chief Executive Officer and recorded in Annex B.</w:t>
      </w:r>
    </w:p>
    <w:p>
      <w:pPr>
        <w:pStyle w:val="Heading1"/>
        <w:spacing w:before="360" w:after="180"/>
        <w:rPr/>
      </w:pPr>
      <w:r>
        <w:rPr>
          <w:rFonts w:eastAsia="Arial" w:cs="Arial" w:ascii="Arial" w:hAnsi="Arial"/>
          <w:b/>
          <w:bCs/>
          <w:color w:val="0000FF"/>
          <w:sz w:val="36"/>
          <w:szCs w:val="36"/>
        </w:rPr>
        <w:t>14.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42001:2023 Annex A controls, as recorded in the Cloudax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A.3.2</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roles and responsibilities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A.3.3</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Reporting of concerns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A.2.3</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Alignment with other organizational policies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 and Cloudax AIMS Statement of Applicability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AI-POL-002 Internal AI Organization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AI-POL-002 Internal AI Organization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2026-04-08T12:37:32Z</dcterms:created>
  <dc:creator>David Stokes</dc:creator>
  <dc:description/>
  <dc:language>en-US</dc:language>
  <cp:lastModifiedBy>David Stokes</cp:lastModifiedBy>
  <dcterms:modified xsi:type="dcterms:W3CDTF">2026-04-08T14:11:32Z</dcterms:modified>
  <cp:revision>1</cp:revision>
  <dc:subject/>
  <dc:title>Cloudax Internal AI Organization Policy</dc:title>
</cp:coreProperties>
</file>

<file path=docProps/custom.xml><?xml version="1.0" encoding="utf-8"?>
<Properties xmlns="http://schemas.openxmlformats.org/officeDocument/2006/custom-properties" xmlns:vt="http://schemas.openxmlformats.org/officeDocument/2006/docPropsVTypes"/>
</file>