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AI System Impact Assessment Procedure (AISIA)</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AI-PRO-002</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System Impact Assessment Procedure (AISIA)</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The AISIA Lifecycle</w:t>
      </w:r>
    </w:p>
    <w:p>
      <w:pPr>
        <w:pStyle w:val="Normal"/>
        <w:spacing w:before="40" w:after="40"/>
        <w:rPr/>
      </w:pPr>
      <w:r>
        <w:rPr>
          <w:rFonts w:eastAsia="Arial" w:cs="Arial"/>
          <w:color w:val="1A1A1A"/>
          <w:sz w:val="22"/>
          <w:szCs w:val="22"/>
        </w:rPr>
        <w:t>6. Stage 1 — Trigger Identification</w:t>
      </w:r>
    </w:p>
    <w:p>
      <w:pPr>
        <w:pStyle w:val="Normal"/>
        <w:spacing w:before="40" w:after="40"/>
        <w:rPr/>
      </w:pPr>
      <w:r>
        <w:rPr>
          <w:rFonts w:eastAsia="Arial" w:cs="Arial"/>
          <w:color w:val="1A1A1A"/>
          <w:sz w:val="22"/>
          <w:szCs w:val="22"/>
        </w:rPr>
        <w:t>7. Stage 2 — Scope and Stakeholders</w:t>
      </w:r>
    </w:p>
    <w:p>
      <w:pPr>
        <w:pStyle w:val="Normal"/>
        <w:spacing w:before="40" w:after="40"/>
        <w:rPr/>
      </w:pPr>
      <w:r>
        <w:rPr>
          <w:rFonts w:eastAsia="Arial" w:cs="Arial"/>
          <w:color w:val="1A1A1A"/>
          <w:sz w:val="22"/>
          <w:szCs w:val="22"/>
        </w:rPr>
        <w:t>8. Stage 3 — Impact Identification</w:t>
      </w:r>
    </w:p>
    <w:p>
      <w:pPr>
        <w:pStyle w:val="Normal"/>
        <w:spacing w:before="40" w:after="40"/>
        <w:rPr/>
      </w:pPr>
      <w:r>
        <w:rPr>
          <w:rFonts w:eastAsia="Arial" w:cs="Arial"/>
          <w:color w:val="1A1A1A"/>
          <w:sz w:val="22"/>
          <w:szCs w:val="22"/>
        </w:rPr>
        <w:t>9. Stage 4 — Severity / Likelihood / Reversibility Assessment</w:t>
      </w:r>
    </w:p>
    <w:p>
      <w:pPr>
        <w:pStyle w:val="Normal"/>
        <w:spacing w:before="40" w:after="40"/>
        <w:rPr/>
      </w:pPr>
      <w:r>
        <w:rPr>
          <w:rFonts w:eastAsia="Arial" w:cs="Arial"/>
          <w:color w:val="1A1A1A"/>
          <w:sz w:val="22"/>
          <w:szCs w:val="22"/>
        </w:rPr>
        <w:t>10. Stage 5 — Mitigation Design</w:t>
      </w:r>
    </w:p>
    <w:p>
      <w:pPr>
        <w:pStyle w:val="Normal"/>
        <w:spacing w:before="40" w:after="40"/>
        <w:rPr/>
      </w:pPr>
      <w:r>
        <w:rPr>
          <w:rFonts w:eastAsia="Arial" w:cs="Arial"/>
          <w:color w:val="1A1A1A"/>
          <w:sz w:val="22"/>
          <w:szCs w:val="22"/>
        </w:rPr>
        <w:t>11. Stage 6 — Residual Impact and Acceptance</w:t>
      </w:r>
    </w:p>
    <w:p>
      <w:pPr>
        <w:pStyle w:val="Normal"/>
        <w:spacing w:before="40" w:after="40"/>
        <w:rPr/>
      </w:pPr>
      <w:r>
        <w:rPr>
          <w:rFonts w:eastAsia="Arial" w:cs="Arial"/>
          <w:color w:val="1A1A1A"/>
          <w:sz w:val="22"/>
          <w:szCs w:val="22"/>
        </w:rPr>
        <w:t>12. Stage 7 — Documentation and Sign-Off</w:t>
      </w:r>
    </w:p>
    <w:p>
      <w:pPr>
        <w:pStyle w:val="Normal"/>
        <w:spacing w:before="40" w:after="40"/>
        <w:rPr/>
      </w:pPr>
      <w:r>
        <w:rPr>
          <w:rFonts w:eastAsia="Arial" w:cs="Arial"/>
          <w:color w:val="1A1A1A"/>
          <w:sz w:val="22"/>
          <w:szCs w:val="22"/>
        </w:rPr>
        <w:t>13. Stage 8 — Refresh Triggers</w:t>
      </w:r>
    </w:p>
    <w:p>
      <w:pPr>
        <w:pStyle w:val="Normal"/>
        <w:spacing w:before="40" w:after="40"/>
        <w:rPr/>
      </w:pPr>
      <w:r>
        <w:rPr>
          <w:rFonts w:eastAsia="Arial" w:cs="Arial"/>
          <w:color w:val="1A1A1A"/>
          <w:sz w:val="22"/>
          <w:szCs w:val="22"/>
        </w:rPr>
        <w:t>14. Light, Standard, and Enhanced AISIA</w:t>
      </w:r>
    </w:p>
    <w:p>
      <w:pPr>
        <w:pStyle w:val="Normal"/>
        <w:spacing w:before="40" w:after="40"/>
        <w:rPr/>
      </w:pPr>
      <w:r>
        <w:rPr>
          <w:rFonts w:eastAsia="Arial" w:cs="Arial"/>
          <w:color w:val="1A1A1A"/>
          <w:sz w:val="22"/>
          <w:szCs w:val="22"/>
        </w:rPr>
        <w:t>15. Coordination with DPIA (REG-DPIA-001)</w:t>
      </w:r>
    </w:p>
    <w:p>
      <w:pPr>
        <w:pStyle w:val="Normal"/>
        <w:spacing w:before="40" w:after="40"/>
        <w:rPr/>
      </w:pPr>
      <w:r>
        <w:rPr>
          <w:rFonts w:eastAsia="Arial" w:cs="Arial"/>
          <w:color w:val="1A1A1A"/>
          <w:sz w:val="22"/>
          <w:szCs w:val="22"/>
        </w:rPr>
        <w:t>16. AISIA Template</w:t>
      </w:r>
    </w:p>
    <w:p>
      <w:pPr>
        <w:pStyle w:val="Normal"/>
        <w:spacing w:before="40" w:after="40"/>
        <w:rPr/>
      </w:pPr>
      <w:r>
        <w:rPr>
          <w:rFonts w:eastAsia="Arial" w:cs="Arial"/>
          <w:color w:val="1A1A1A"/>
          <w:sz w:val="22"/>
          <w:szCs w:val="22"/>
        </w:rPr>
        <w:t>17. Records</w:t>
      </w:r>
    </w:p>
    <w:p>
      <w:pPr>
        <w:pStyle w:val="Normal"/>
        <w:spacing w:before="40" w:after="40"/>
        <w:rPr/>
      </w:pPr>
      <w:r>
        <w:rPr>
          <w:rFonts w:eastAsia="Arial" w:cs="Arial"/>
          <w:color w:val="1A1A1A"/>
          <w:sz w:val="22"/>
          <w:szCs w:val="22"/>
        </w:rPr>
        <w:t>18. Compliance Monitoring</w:t>
      </w:r>
    </w:p>
    <w:p>
      <w:pPr>
        <w:pStyle w:val="Normal"/>
        <w:spacing w:before="40" w:after="40"/>
        <w:rPr/>
      </w:pPr>
      <w:r>
        <w:rPr>
          <w:rFonts w:eastAsia="Arial" w:cs="Arial"/>
          <w:color w:val="1A1A1A"/>
          <w:sz w:val="22"/>
          <w:szCs w:val="22"/>
        </w:rPr>
        <w:t>19. Maintenance</w:t>
      </w:r>
    </w:p>
    <w:p>
      <w:pPr>
        <w:pStyle w:val="Normal"/>
        <w:spacing w:before="40" w:after="40"/>
        <w:rPr/>
      </w:pPr>
      <w:r>
        <w:rPr>
          <w:rFonts w:eastAsia="Arial" w:cs="Arial"/>
          <w:color w:val="1A1A1A"/>
          <w:sz w:val="22"/>
          <w:szCs w:val="22"/>
        </w:rPr>
        <w:t>20. Acknowledgement</w:t>
      </w:r>
    </w:p>
    <w:p>
      <w:pPr>
        <w:pStyle w:val="Normal"/>
        <w:spacing w:before="40" w:after="40"/>
        <w:rPr/>
      </w:pPr>
      <w:r>
        <w:rPr>
          <w:rFonts w:eastAsia="Arial" w:cs="Arial"/>
          <w:color w:val="1A1A1A"/>
          <w:sz w:val="22"/>
          <w:szCs w:val="22"/>
        </w:rPr>
        <w:t>Annex A — ISO/IEC 42001:2023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operationalises the AI System Impact Assessment Policy (AI-POL-004). It defines the steps to plan, conduct, document, and refresh an AI System Impact Assessment (AISIA) for any AI system within the AIMS scope.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 6.1.4 AI system impact assessment; Cl. 8.4 AI system impact assessment; A.5.2; A.5.3; A.5.4; A.5.5</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applies to every AI system within the AIMS scope at the triggers identified in AI-POL-004 §6.</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Definitions are per AI-POL-004 §3.</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color w:val="1A1A1A"/>
          <w:sz w:val="22"/>
          <w:szCs w:val="22"/>
        </w:rPr>
        <w:t>AI Governance Lead: owns this Procedure; signs off completed AISIA; ensures the AI-REG-AISIA-001 register is current.</w:t>
      </w:r>
    </w:p>
    <w:p>
      <w:pPr>
        <w:pStyle w:val="ListParagraph"/>
        <w:numPr>
          <w:ilvl w:val="0"/>
          <w:numId w:val="1"/>
        </w:numPr>
        <w:spacing w:lineRule="exact" w:line="280" w:before="40" w:after="40"/>
        <w:rPr/>
      </w:pPr>
      <w:r>
        <w:rPr>
          <w:rFonts w:eastAsia="Arial" w:cs="Arial"/>
          <w:color w:val="1A1A1A"/>
          <w:sz w:val="22"/>
          <w:szCs w:val="22"/>
        </w:rPr>
        <w:t>Project / feature owner: leads the AISIA, drafts the assessment, agrees mitigations.</w:t>
      </w:r>
    </w:p>
    <w:p>
      <w:pPr>
        <w:pStyle w:val="ListParagraph"/>
        <w:numPr>
          <w:ilvl w:val="0"/>
          <w:numId w:val="1"/>
        </w:numPr>
        <w:spacing w:lineRule="exact" w:line="280" w:before="40" w:after="40"/>
        <w:rPr/>
      </w:pPr>
      <w:r>
        <w:rPr>
          <w:rFonts w:eastAsia="Arial" w:cs="Arial"/>
          <w:color w:val="1A1A1A"/>
          <w:sz w:val="22"/>
          <w:szCs w:val="22"/>
        </w:rPr>
        <w:t>Privacy Lead: contributes the privacy and data subject perspective; coordinates with REG-DPIA-001.</w:t>
      </w:r>
    </w:p>
    <w:p>
      <w:pPr>
        <w:pStyle w:val="ListParagraph"/>
        <w:numPr>
          <w:ilvl w:val="0"/>
          <w:numId w:val="1"/>
        </w:numPr>
        <w:spacing w:lineRule="exact" w:line="280" w:before="40" w:after="40"/>
        <w:rPr/>
      </w:pPr>
      <w:r>
        <w:rPr>
          <w:rFonts w:eastAsia="Arial" w:cs="Arial"/>
          <w:color w:val="1A1A1A"/>
          <w:sz w:val="22"/>
          <w:szCs w:val="22"/>
        </w:rPr>
        <w:t>Chief Technology Officer: contributes the technical perspective; assesses feasibility of mitigations.</w:t>
      </w:r>
    </w:p>
    <w:p>
      <w:pPr>
        <w:pStyle w:val="ListParagraph"/>
        <w:numPr>
          <w:ilvl w:val="0"/>
          <w:numId w:val="1"/>
        </w:numPr>
        <w:spacing w:lineRule="exact" w:line="280" w:before="40" w:after="40"/>
        <w:rPr/>
      </w:pPr>
      <w:r>
        <w:rPr>
          <w:rFonts w:eastAsia="Arial" w:cs="Arial"/>
          <w:color w:val="1A1A1A"/>
          <w:sz w:val="22"/>
          <w:szCs w:val="22"/>
        </w:rPr>
        <w:t>Customer-facing leads: contribute customer impact perspective for customer-facing AI systems.</w:t>
      </w:r>
    </w:p>
    <w:p>
      <w:pPr>
        <w:pStyle w:val="ListParagraph"/>
        <w:numPr>
          <w:ilvl w:val="0"/>
          <w:numId w:val="1"/>
        </w:numPr>
        <w:spacing w:lineRule="exact" w:line="280" w:before="40" w:after="40"/>
        <w:rPr/>
      </w:pPr>
      <w:r>
        <w:rPr>
          <w:rFonts w:eastAsia="Arial" w:cs="Arial"/>
          <w:color w:val="1A1A1A"/>
          <w:sz w:val="22"/>
          <w:szCs w:val="22"/>
        </w:rPr>
        <w:t>Chief Executive Officer: notified of high-impact AISIA; approves any AI system whose AISIA shows high residual impact.</w:t>
      </w:r>
    </w:p>
    <w:p>
      <w:pPr>
        <w:pStyle w:val="Heading1"/>
        <w:spacing w:before="360" w:after="180"/>
        <w:rPr/>
      </w:pPr>
      <w:r>
        <w:rPr>
          <w:rFonts w:eastAsia="Arial" w:cs="Arial" w:ascii="Arial" w:hAnsi="Arial"/>
          <w:b/>
          <w:bCs/>
          <w:color w:val="0000FF"/>
          <w:sz w:val="36"/>
          <w:szCs w:val="36"/>
        </w:rPr>
        <w:t>5. The AISIA Lifecycle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is conducted in 8 stages:</w:t>
      </w:r>
    </w:p>
    <w:p>
      <w:pPr>
        <w:pStyle w:val="ListParagraph"/>
        <w:numPr>
          <w:ilvl w:val="0"/>
          <w:numId w:val="1"/>
        </w:numPr>
        <w:spacing w:lineRule="exact" w:line="280" w:before="40" w:after="40"/>
        <w:rPr/>
      </w:pPr>
      <w:r>
        <w:rPr>
          <w:rFonts w:eastAsia="Arial" w:cs="Arial"/>
          <w:color w:val="1A1A1A"/>
          <w:sz w:val="22"/>
          <w:szCs w:val="22"/>
        </w:rPr>
        <w:t>Trigger Identification — confirm a trigger applies and AISIA is required.</w:t>
      </w:r>
    </w:p>
    <w:p>
      <w:pPr>
        <w:pStyle w:val="ListParagraph"/>
        <w:numPr>
          <w:ilvl w:val="0"/>
          <w:numId w:val="1"/>
        </w:numPr>
        <w:spacing w:lineRule="exact" w:line="280" w:before="40" w:after="40"/>
        <w:rPr/>
      </w:pPr>
      <w:r>
        <w:rPr>
          <w:rFonts w:eastAsia="Arial" w:cs="Arial"/>
          <w:color w:val="1A1A1A"/>
          <w:sz w:val="22"/>
          <w:szCs w:val="22"/>
        </w:rPr>
        <w:t>Scope and Stakeholders — define what is being assessed and who is affected.</w:t>
      </w:r>
    </w:p>
    <w:p>
      <w:pPr>
        <w:pStyle w:val="ListParagraph"/>
        <w:numPr>
          <w:ilvl w:val="0"/>
          <w:numId w:val="1"/>
        </w:numPr>
        <w:spacing w:lineRule="exact" w:line="280" w:before="40" w:after="40"/>
        <w:rPr/>
      </w:pPr>
      <w:r>
        <w:rPr>
          <w:rFonts w:eastAsia="Arial" w:cs="Arial"/>
          <w:color w:val="1A1A1A"/>
          <w:sz w:val="22"/>
          <w:szCs w:val="22"/>
        </w:rPr>
        <w:t>Impact Identification — identify potential impacts across all relevant categories.</w:t>
      </w:r>
    </w:p>
    <w:p>
      <w:pPr>
        <w:pStyle w:val="ListParagraph"/>
        <w:numPr>
          <w:ilvl w:val="0"/>
          <w:numId w:val="1"/>
        </w:numPr>
        <w:spacing w:lineRule="exact" w:line="280" w:before="40" w:after="40"/>
        <w:rPr/>
      </w:pPr>
      <w:r>
        <w:rPr>
          <w:rFonts w:eastAsia="Arial" w:cs="Arial"/>
          <w:color w:val="1A1A1A"/>
          <w:sz w:val="22"/>
          <w:szCs w:val="22"/>
        </w:rPr>
        <w:t>Severity / Likelihood / Reversibility Assessment — rate identified impacts.</w:t>
      </w:r>
    </w:p>
    <w:p>
      <w:pPr>
        <w:pStyle w:val="ListParagraph"/>
        <w:numPr>
          <w:ilvl w:val="0"/>
          <w:numId w:val="1"/>
        </w:numPr>
        <w:spacing w:lineRule="exact" w:line="280" w:before="40" w:after="40"/>
        <w:rPr/>
      </w:pPr>
      <w:r>
        <w:rPr>
          <w:rFonts w:eastAsia="Arial" w:cs="Arial"/>
          <w:color w:val="1A1A1A"/>
          <w:sz w:val="22"/>
          <w:szCs w:val="22"/>
        </w:rPr>
        <w:t>Mitigation Design — design controls to reduce impacts to acceptable levels.</w:t>
      </w:r>
    </w:p>
    <w:p>
      <w:pPr>
        <w:pStyle w:val="ListParagraph"/>
        <w:numPr>
          <w:ilvl w:val="0"/>
          <w:numId w:val="1"/>
        </w:numPr>
        <w:spacing w:lineRule="exact" w:line="280" w:before="40" w:after="40"/>
        <w:rPr/>
      </w:pPr>
      <w:r>
        <w:rPr>
          <w:rFonts w:eastAsia="Arial" w:cs="Arial"/>
          <w:color w:val="1A1A1A"/>
          <w:sz w:val="22"/>
          <w:szCs w:val="22"/>
        </w:rPr>
        <w:t>Residual Impact and Acceptance — assess residual impact; obtain acceptance.</w:t>
      </w:r>
    </w:p>
    <w:p>
      <w:pPr>
        <w:pStyle w:val="ListParagraph"/>
        <w:numPr>
          <w:ilvl w:val="0"/>
          <w:numId w:val="1"/>
        </w:numPr>
        <w:spacing w:lineRule="exact" w:line="280" w:before="40" w:after="40"/>
        <w:rPr/>
      </w:pPr>
      <w:r>
        <w:rPr>
          <w:rFonts w:eastAsia="Arial" w:cs="Arial"/>
          <w:color w:val="1A1A1A"/>
          <w:sz w:val="22"/>
          <w:szCs w:val="22"/>
        </w:rPr>
        <w:t>Documentation and Sign-Off — record outputs; obtain sign-off.</w:t>
      </w:r>
    </w:p>
    <w:p>
      <w:pPr>
        <w:pStyle w:val="ListParagraph"/>
        <w:numPr>
          <w:ilvl w:val="0"/>
          <w:numId w:val="1"/>
        </w:numPr>
        <w:spacing w:lineRule="exact" w:line="280" w:before="40" w:after="40"/>
        <w:rPr/>
      </w:pPr>
      <w:r>
        <w:rPr>
          <w:rFonts w:eastAsia="Arial" w:cs="Arial"/>
          <w:color w:val="1A1A1A"/>
          <w:sz w:val="22"/>
          <w:szCs w:val="22"/>
        </w:rPr>
        <w:t>Refresh Triggers — set the cadence for refresh and the events that trigger early refresh.</w:t>
      </w:r>
    </w:p>
    <w:p>
      <w:pPr>
        <w:pStyle w:val="Heading1"/>
        <w:spacing w:before="360" w:after="180"/>
        <w:rPr/>
      </w:pPr>
      <w:r>
        <w:rPr>
          <w:rFonts w:eastAsia="Arial" w:cs="Arial" w:ascii="Arial" w:hAnsi="Arial"/>
          <w:b/>
          <w:bCs/>
          <w:color w:val="0000FF"/>
          <w:sz w:val="36"/>
          <w:szCs w:val="36"/>
        </w:rPr>
        <w:t>6. Stage 1 — Trigger Identification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Confirm the AISIA trigger per AI-POL-004 §6.</w:t>
      </w:r>
    </w:p>
    <w:p>
      <w:pPr>
        <w:pStyle w:val="ListParagraph"/>
        <w:numPr>
          <w:ilvl w:val="0"/>
          <w:numId w:val="1"/>
        </w:numPr>
        <w:spacing w:lineRule="exact" w:line="280" w:before="40" w:after="40"/>
        <w:rPr/>
      </w:pPr>
      <w:r>
        <w:rPr>
          <w:rFonts w:eastAsia="Arial" w:cs="Arial"/>
          <w:color w:val="1A1A1A"/>
          <w:sz w:val="22"/>
          <w:szCs w:val="22"/>
        </w:rPr>
        <w:t>Open an AISIA record in AI-REG-AISIA-001 with: AISIA reference (AISIA-NNN), AI system identifier, trigger, owner, target completion date.</w:t>
      </w:r>
    </w:p>
    <w:p>
      <w:pPr>
        <w:pStyle w:val="ListParagraph"/>
        <w:numPr>
          <w:ilvl w:val="0"/>
          <w:numId w:val="1"/>
        </w:numPr>
        <w:spacing w:lineRule="exact" w:line="280" w:before="40" w:after="40"/>
        <w:rPr/>
      </w:pPr>
      <w:r>
        <w:rPr>
          <w:rFonts w:eastAsia="Arial" w:cs="Arial"/>
          <w:color w:val="1A1A1A"/>
          <w:sz w:val="22"/>
          <w:szCs w:val="22"/>
        </w:rPr>
        <w:t>Determine assessment depth (Section 14).</w:t>
      </w:r>
    </w:p>
    <w:p>
      <w:pPr>
        <w:pStyle w:val="ListParagraph"/>
        <w:numPr>
          <w:ilvl w:val="0"/>
          <w:numId w:val="1"/>
        </w:numPr>
        <w:spacing w:lineRule="exact" w:line="280" w:before="40" w:after="40"/>
        <w:rPr/>
      </w:pPr>
      <w:r>
        <w:rPr>
          <w:rFonts w:eastAsia="Arial" w:cs="Arial"/>
          <w:color w:val="1A1A1A"/>
          <w:sz w:val="22"/>
          <w:szCs w:val="22"/>
        </w:rPr>
        <w:t>Notify the AI Governance Lead.</w:t>
      </w:r>
    </w:p>
    <w:p>
      <w:pPr>
        <w:pStyle w:val="Heading1"/>
        <w:spacing w:before="360" w:after="180"/>
        <w:rPr/>
      </w:pPr>
      <w:r>
        <w:rPr>
          <w:rFonts w:eastAsia="Arial" w:cs="Arial" w:ascii="Arial" w:hAnsi="Arial"/>
          <w:b/>
          <w:bCs/>
          <w:color w:val="0000FF"/>
          <w:sz w:val="36"/>
          <w:szCs w:val="36"/>
        </w:rPr>
        <w:t>7. Stage 2 — Scope and Stakeholders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Document the AI system being assessed: purpose, intended use, intended users, data, dependencies, deployment scope.</w:t>
      </w:r>
    </w:p>
    <w:p>
      <w:pPr>
        <w:pStyle w:val="ListParagraph"/>
        <w:numPr>
          <w:ilvl w:val="0"/>
          <w:numId w:val="1"/>
        </w:numPr>
        <w:spacing w:lineRule="exact" w:line="280" w:before="40" w:after="40"/>
        <w:rPr/>
      </w:pPr>
      <w:r>
        <w:rPr>
          <w:rFonts w:eastAsia="Arial" w:cs="Arial"/>
          <w:color w:val="1A1A1A"/>
          <w:sz w:val="22"/>
          <w:szCs w:val="22"/>
        </w:rPr>
        <w:t>Identify affected parties: end-users (callers in customer conversations), customers (organisational), Cloudax personnel, society, regulators.</w:t>
      </w:r>
    </w:p>
    <w:p>
      <w:pPr>
        <w:pStyle w:val="ListParagraph"/>
        <w:numPr>
          <w:ilvl w:val="0"/>
          <w:numId w:val="1"/>
        </w:numPr>
        <w:spacing w:lineRule="exact" w:line="280" w:before="40" w:after="40"/>
        <w:rPr/>
      </w:pPr>
      <w:r>
        <w:rPr>
          <w:rFonts w:eastAsia="Arial" w:cs="Arial"/>
          <w:color w:val="1A1A1A"/>
          <w:sz w:val="22"/>
          <w:szCs w:val="22"/>
        </w:rPr>
        <w:t>For each affected party, document how they may interact with or be affected by the AI system.</w:t>
      </w:r>
    </w:p>
    <w:p>
      <w:pPr>
        <w:pStyle w:val="Heading1"/>
        <w:spacing w:before="360" w:after="180"/>
        <w:rPr/>
      </w:pPr>
      <w:r>
        <w:rPr>
          <w:rFonts w:eastAsia="Arial" w:cs="Arial" w:ascii="Arial" w:hAnsi="Arial"/>
          <w:b/>
          <w:bCs/>
          <w:color w:val="0000FF"/>
          <w:sz w:val="36"/>
          <w:szCs w:val="36"/>
        </w:rPr>
        <w:t>8. Stage 3 — Impact Identification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Identify potential impacts across the categories in AI-POL-004 §9 (individuals/groups) and §10 (societal):</w:t>
      </w:r>
    </w:p>
    <w:p>
      <w:pPr>
        <w:pStyle w:val="ListParagraph"/>
        <w:numPr>
          <w:ilvl w:val="0"/>
          <w:numId w:val="1"/>
        </w:numPr>
        <w:spacing w:lineRule="exact" w:line="280" w:before="40" w:after="40"/>
        <w:rPr/>
      </w:pPr>
      <w:r>
        <w:rPr>
          <w:rFonts w:eastAsia="Arial" w:cs="Arial"/>
          <w:color w:val="1A1A1A"/>
          <w:sz w:val="22"/>
          <w:szCs w:val="22"/>
        </w:rPr>
        <w:t>Accuracy and quality of AI outputs as they affect a person’s situation.</w:t>
      </w:r>
    </w:p>
    <w:p>
      <w:pPr>
        <w:pStyle w:val="ListParagraph"/>
        <w:numPr>
          <w:ilvl w:val="0"/>
          <w:numId w:val="1"/>
        </w:numPr>
        <w:spacing w:lineRule="exact" w:line="280" w:before="40" w:after="40"/>
        <w:rPr/>
      </w:pPr>
      <w:r>
        <w:rPr>
          <w:rFonts w:eastAsia="Arial" w:cs="Arial"/>
          <w:color w:val="1A1A1A"/>
          <w:sz w:val="22"/>
          <w:szCs w:val="22"/>
        </w:rPr>
        <w:t>Bias — systematic disparate treatment by protected characteristic, accent, dialect, demographic.</w:t>
      </w:r>
    </w:p>
    <w:p>
      <w:pPr>
        <w:pStyle w:val="ListParagraph"/>
        <w:numPr>
          <w:ilvl w:val="0"/>
          <w:numId w:val="1"/>
        </w:numPr>
        <w:spacing w:lineRule="exact" w:line="280" w:before="40" w:after="40"/>
        <w:rPr/>
      </w:pPr>
      <w:r>
        <w:rPr>
          <w:rFonts w:eastAsia="Arial" w:cs="Arial"/>
          <w:color w:val="1A1A1A"/>
          <w:sz w:val="22"/>
          <w:szCs w:val="22"/>
        </w:rPr>
        <w:t>Privacy — collection, inference, retention, disclosure of personal data.</w:t>
      </w:r>
    </w:p>
    <w:p>
      <w:pPr>
        <w:pStyle w:val="ListParagraph"/>
        <w:numPr>
          <w:ilvl w:val="0"/>
          <w:numId w:val="1"/>
        </w:numPr>
        <w:spacing w:lineRule="exact" w:line="280" w:before="40" w:after="40"/>
        <w:rPr/>
      </w:pPr>
      <w:r>
        <w:rPr>
          <w:rFonts w:eastAsia="Arial" w:cs="Arial"/>
          <w:color w:val="1A1A1A"/>
          <w:sz w:val="22"/>
          <w:szCs w:val="22"/>
        </w:rPr>
        <w:t>Autonomy — displacement of human judgement valued by the affected person.</w:t>
      </w:r>
    </w:p>
    <w:p>
      <w:pPr>
        <w:pStyle w:val="ListParagraph"/>
        <w:numPr>
          <w:ilvl w:val="0"/>
          <w:numId w:val="1"/>
        </w:numPr>
        <w:spacing w:lineRule="exact" w:line="280" w:before="40" w:after="40"/>
        <w:rPr/>
      </w:pPr>
      <w:r>
        <w:rPr>
          <w:rFonts w:eastAsia="Arial" w:cs="Arial"/>
          <w:color w:val="1A1A1A"/>
          <w:sz w:val="22"/>
          <w:szCs w:val="22"/>
        </w:rPr>
        <w:t>Dignity and respect — risk of demeaning interaction.</w:t>
      </w:r>
    </w:p>
    <w:p>
      <w:pPr>
        <w:pStyle w:val="ListParagraph"/>
        <w:numPr>
          <w:ilvl w:val="0"/>
          <w:numId w:val="1"/>
        </w:numPr>
        <w:spacing w:lineRule="exact" w:line="280" w:before="40" w:after="40"/>
        <w:rPr/>
      </w:pPr>
      <w:r>
        <w:rPr>
          <w:rFonts w:eastAsia="Arial" w:cs="Arial"/>
          <w:color w:val="1A1A1A"/>
          <w:sz w:val="22"/>
          <w:szCs w:val="22"/>
        </w:rPr>
        <w:t>Access and inclusion — exclusion or disadvantage for users with particular needs.</w:t>
      </w:r>
    </w:p>
    <w:p>
      <w:pPr>
        <w:pStyle w:val="ListParagraph"/>
        <w:numPr>
          <w:ilvl w:val="0"/>
          <w:numId w:val="1"/>
        </w:numPr>
        <w:spacing w:lineRule="exact" w:line="280" w:before="40" w:after="40"/>
        <w:rPr/>
      </w:pPr>
      <w:r>
        <w:rPr>
          <w:rFonts w:eastAsia="Arial" w:cs="Arial"/>
          <w:color w:val="1A1A1A"/>
          <w:sz w:val="22"/>
          <w:szCs w:val="22"/>
        </w:rPr>
        <w:t>Recourse — ability to question, appeal, or correct AI-influenced outcomes.</w:t>
      </w:r>
    </w:p>
    <w:p>
      <w:pPr>
        <w:pStyle w:val="ListParagraph"/>
        <w:numPr>
          <w:ilvl w:val="0"/>
          <w:numId w:val="1"/>
        </w:numPr>
        <w:spacing w:lineRule="exact" w:line="280" w:before="40" w:after="40"/>
        <w:rPr/>
      </w:pPr>
      <w:r>
        <w:rPr>
          <w:rFonts w:eastAsia="Arial" w:cs="Arial"/>
          <w:color w:val="1A1A1A"/>
          <w:sz w:val="22"/>
          <w:szCs w:val="22"/>
        </w:rPr>
        <w:t>Safety — risk of physical, financial, psychological, or relational harm.</w:t>
      </w:r>
    </w:p>
    <w:p>
      <w:pPr>
        <w:pStyle w:val="ListParagraph"/>
        <w:numPr>
          <w:ilvl w:val="0"/>
          <w:numId w:val="1"/>
        </w:numPr>
        <w:spacing w:lineRule="exact" w:line="280" w:before="40" w:after="40"/>
        <w:rPr/>
      </w:pPr>
      <w:r>
        <w:rPr>
          <w:rFonts w:eastAsia="Arial" w:cs="Arial"/>
          <w:color w:val="1A1A1A"/>
          <w:sz w:val="22"/>
          <w:szCs w:val="22"/>
        </w:rPr>
        <w:t>Societal — effects on labour, equity, environment, trust.</w:t>
      </w:r>
    </w:p>
    <w:p>
      <w:pPr>
        <w:pStyle w:val="Normal"/>
        <w:spacing w:lineRule="exact" w:line="300" w:before="80" w:after="120"/>
        <w:rPr/>
      </w:pPr>
      <w:r>
        <w:rPr>
          <w:rFonts w:eastAsia="Arial" w:cs="Arial"/>
          <w:color w:val="1A1A1A"/>
          <w:sz w:val="22"/>
          <w:szCs w:val="22"/>
        </w:rPr>
        <w:t>Identify both intended and unintended uses; both expected and edge-case behaviour. Use AISIA workshops, threat modelling, prior incident review, and external research as inputs.</w:t>
      </w:r>
    </w:p>
    <w:p>
      <w:pPr>
        <w:pStyle w:val="Heading1"/>
        <w:spacing w:before="360" w:after="180"/>
        <w:rPr/>
      </w:pPr>
      <w:r>
        <w:rPr>
          <w:rFonts w:eastAsia="Arial" w:cs="Arial" w:ascii="Arial" w:hAnsi="Arial"/>
          <w:b/>
          <w:bCs/>
          <w:color w:val="0000FF"/>
          <w:sz w:val="36"/>
          <w:szCs w:val="36"/>
        </w:rPr>
        <w:t>9. Stage 4 — Severity / Likelihood / Reversibility Assessment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For each identified impact, rate: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2299"/>
        <w:gridCol w:w="1701"/>
        <w:gridCol w:w="5026"/>
      </w:tblGrid>
      <w:tr>
        <w:trPr>
          <w:tblHeader w:val="true"/>
        </w:trPr>
        <w:tc>
          <w:tcPr>
            <w:tcW w:w="2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DIMENSION</w:t>
            </w:r>
          </w:p>
        </w:tc>
        <w:tc>
          <w:tcPr>
            <w:tcW w:w="1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RATING</w:t>
            </w:r>
          </w:p>
        </w:tc>
        <w:tc>
          <w:tcPr>
            <w:tcW w:w="50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DESCRIPTOR</w:t>
            </w:r>
          </w:p>
        </w:tc>
      </w:tr>
      <w:tr>
        <w:trPr/>
        <w:tc>
          <w:tcPr>
            <w:tcW w:w="2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Severity</w:t>
            </w:r>
          </w:p>
        </w:tc>
        <w:tc>
          <w:tcPr>
            <w:tcW w:w="1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1–5</w:t>
            </w:r>
          </w:p>
        </w:tc>
        <w:tc>
          <w:tcPr>
            <w:tcW w:w="5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How serious if it occurs (1 negligible, 5 severe)</w:t>
            </w:r>
          </w:p>
        </w:tc>
      </w:tr>
      <w:tr>
        <w:trPr/>
        <w:tc>
          <w:tcPr>
            <w:tcW w:w="2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Likelihood</w:t>
            </w:r>
          </w:p>
        </w:tc>
        <w:tc>
          <w:tcPr>
            <w:tcW w:w="1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1–5</w:t>
            </w:r>
          </w:p>
        </w:tc>
        <w:tc>
          <w:tcPr>
            <w:tcW w:w="5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How likely to occur in the deployment context (1 rare, 5 almost certain)</w:t>
            </w:r>
          </w:p>
        </w:tc>
      </w:tr>
      <w:tr>
        <w:trPr/>
        <w:tc>
          <w:tcPr>
            <w:tcW w:w="2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Reversibility</w:t>
            </w:r>
          </w:p>
        </w:tc>
        <w:tc>
          <w:tcPr>
            <w:tcW w:w="1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1–5</w:t>
            </w:r>
          </w:p>
        </w:tc>
        <w:tc>
          <w:tcPr>
            <w:tcW w:w="5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How readily the impact can be undone or remediated (1 fully reversible, 5 irreversible)</w:t>
            </w:r>
          </w:p>
        </w:tc>
      </w:tr>
    </w:tbl>
    <w:p>
      <w:pPr>
        <w:pStyle w:val="Normal"/>
        <w:spacing w:lineRule="exact" w:line="300" w:before="80" w:after="120"/>
        <w:rPr/>
      </w:pPr>
      <w:r>
        <w:rPr>
          <w:rFonts w:eastAsia="Arial" w:cs="Arial"/>
          <w:color w:val="1A1A1A"/>
          <w:sz w:val="22"/>
          <w:szCs w:val="22"/>
        </w:rPr>
        <w:t>Combined impact band is: Low / Moderate / High / Critical, calculated as severity × likelihood with reversibility as a modifier (irreversible impacts move up one band).</w:t>
      </w:r>
    </w:p>
    <w:p>
      <w:pPr>
        <w:pStyle w:val="Heading1"/>
        <w:spacing w:before="360" w:after="180"/>
        <w:rPr/>
      </w:pPr>
      <w:r>
        <w:rPr>
          <w:rFonts w:eastAsia="Arial" w:cs="Arial" w:ascii="Arial" w:hAnsi="Arial"/>
          <w:b/>
          <w:bCs/>
          <w:color w:val="0000FF"/>
          <w:sz w:val="36"/>
          <w:szCs w:val="36"/>
        </w:rPr>
        <w:t>10. Stage 5 — Mitigation Design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For each identified impact above the acceptance threshold, design mitigations. Categories of mitigation:</w:t>
      </w:r>
    </w:p>
    <w:p>
      <w:pPr>
        <w:pStyle w:val="ListParagraph"/>
        <w:numPr>
          <w:ilvl w:val="0"/>
          <w:numId w:val="1"/>
        </w:numPr>
        <w:spacing w:lineRule="exact" w:line="280" w:before="40" w:after="40"/>
        <w:rPr/>
      </w:pPr>
      <w:r>
        <w:rPr>
          <w:rFonts w:eastAsia="Arial" w:cs="Arial"/>
          <w:color w:val="1A1A1A"/>
          <w:sz w:val="22"/>
          <w:szCs w:val="22"/>
        </w:rPr>
        <w:t>Design changes — alternative model choice, additional features, restricted scope.</w:t>
      </w:r>
    </w:p>
    <w:p>
      <w:pPr>
        <w:pStyle w:val="ListParagraph"/>
        <w:numPr>
          <w:ilvl w:val="0"/>
          <w:numId w:val="1"/>
        </w:numPr>
        <w:spacing w:lineRule="exact" w:line="280" w:before="40" w:after="40"/>
        <w:rPr/>
      </w:pPr>
      <w:r>
        <w:rPr>
          <w:rFonts w:eastAsia="Arial" w:cs="Arial"/>
          <w:color w:val="1A1A1A"/>
          <w:sz w:val="22"/>
          <w:szCs w:val="22"/>
        </w:rPr>
        <w:t>Technical controls — input filtering, output filtering, monitoring, rate limits, fallback mechanisms.</w:t>
      </w:r>
    </w:p>
    <w:p>
      <w:pPr>
        <w:pStyle w:val="ListParagraph"/>
        <w:numPr>
          <w:ilvl w:val="0"/>
          <w:numId w:val="1"/>
        </w:numPr>
        <w:spacing w:lineRule="exact" w:line="280" w:before="40" w:after="40"/>
        <w:rPr/>
      </w:pPr>
      <w:r>
        <w:rPr>
          <w:rFonts w:eastAsia="Arial" w:cs="Arial"/>
          <w:color w:val="1A1A1A"/>
          <w:sz w:val="22"/>
          <w:szCs w:val="22"/>
        </w:rPr>
        <w:t>Process controls — human-in-the-loop, peer review, escalation paths.</w:t>
      </w:r>
    </w:p>
    <w:p>
      <w:pPr>
        <w:pStyle w:val="ListParagraph"/>
        <w:numPr>
          <w:ilvl w:val="0"/>
          <w:numId w:val="1"/>
        </w:numPr>
        <w:spacing w:lineRule="exact" w:line="280" w:before="40" w:after="40"/>
        <w:rPr/>
      </w:pPr>
      <w:r>
        <w:rPr>
          <w:rFonts w:eastAsia="Arial" w:cs="Arial"/>
          <w:color w:val="1A1A1A"/>
          <w:sz w:val="22"/>
          <w:szCs w:val="22"/>
        </w:rPr>
        <w:t>Communication — customer-facing documentation, end-user notice, training.</w:t>
      </w:r>
    </w:p>
    <w:p>
      <w:pPr>
        <w:pStyle w:val="ListParagraph"/>
        <w:numPr>
          <w:ilvl w:val="0"/>
          <w:numId w:val="1"/>
        </w:numPr>
        <w:spacing w:lineRule="exact" w:line="280" w:before="40" w:after="40"/>
        <w:rPr/>
      </w:pPr>
      <w:r>
        <w:rPr>
          <w:rFonts w:eastAsia="Arial" w:cs="Arial"/>
          <w:color w:val="1A1A1A"/>
          <w:sz w:val="22"/>
          <w:szCs w:val="22"/>
        </w:rPr>
        <w:t>Contractual constraints — customer terms, supplier terms.</w:t>
      </w:r>
    </w:p>
    <w:p>
      <w:pPr>
        <w:pStyle w:val="Normal"/>
        <w:spacing w:lineRule="exact" w:line="300" w:before="80" w:after="120"/>
        <w:rPr/>
      </w:pPr>
      <w:r>
        <w:rPr>
          <w:rFonts w:eastAsia="Arial" w:cs="Arial"/>
          <w:color w:val="1A1A1A"/>
          <w:sz w:val="22"/>
          <w:szCs w:val="22"/>
        </w:rPr>
        <w:t>Mitigations are recorded with owner and target completion date. Mitigations that need engineering work are added to the development backlog.</w:t>
      </w:r>
    </w:p>
    <w:p>
      <w:pPr>
        <w:pStyle w:val="Heading1"/>
        <w:spacing w:before="360" w:after="180"/>
        <w:rPr/>
      </w:pPr>
      <w:r>
        <w:rPr>
          <w:rFonts w:eastAsia="Arial" w:cs="Arial" w:ascii="Arial" w:hAnsi="Arial"/>
          <w:b/>
          <w:bCs/>
          <w:color w:val="0000FF"/>
          <w:sz w:val="36"/>
          <w:szCs w:val="36"/>
        </w:rPr>
        <w:t>11. Stage 6 — Residual Impact and Acceptance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After mitigations, re-rate each impact (Stage 4 dimensions).</w:t>
      </w:r>
    </w:p>
    <w:p>
      <w:pPr>
        <w:pStyle w:val="ListParagraph"/>
        <w:numPr>
          <w:ilvl w:val="0"/>
          <w:numId w:val="1"/>
        </w:numPr>
        <w:spacing w:lineRule="exact" w:line="280" w:before="40" w:after="40"/>
        <w:rPr/>
      </w:pPr>
      <w:r>
        <w:rPr>
          <w:rFonts w:eastAsia="Arial" w:cs="Arial"/>
          <w:color w:val="1A1A1A"/>
          <w:sz w:val="22"/>
          <w:szCs w:val="22"/>
        </w:rPr>
        <w:t>Determine residual impact band for the AI system as a whole.</w:t>
      </w:r>
    </w:p>
    <w:p>
      <w:pPr>
        <w:pStyle w:val="ListParagraph"/>
        <w:numPr>
          <w:ilvl w:val="0"/>
          <w:numId w:val="1"/>
        </w:numPr>
        <w:spacing w:lineRule="exact" w:line="280" w:before="40" w:after="40"/>
        <w:rPr/>
      </w:pPr>
      <w:r>
        <w:rPr>
          <w:rFonts w:eastAsia="Arial" w:cs="Arial"/>
          <w:color w:val="1A1A1A"/>
          <w:sz w:val="22"/>
          <w:szCs w:val="22"/>
        </w:rPr>
        <w:t>Acceptance authority by band:</w:t>
      </w:r>
    </w:p>
    <w:p>
      <w:pPr>
        <w:pStyle w:val="ListParagraph"/>
        <w:numPr>
          <w:ilvl w:val="1"/>
          <w:numId w:val="1"/>
        </w:numPr>
        <w:spacing w:lineRule="exact" w:line="280" w:before="40" w:after="40"/>
        <w:rPr/>
      </w:pPr>
      <w:r>
        <w:rPr>
          <w:rFonts w:eastAsia="Arial" w:cs="Arial"/>
          <w:color w:val="1A1A1A"/>
          <w:sz w:val="22"/>
          <w:szCs w:val="22"/>
        </w:rPr>
        <w:t xml:space="preserve">— </w:t>
      </w:r>
      <w:r>
        <w:rPr>
          <w:rFonts w:eastAsia="Arial" w:cs="Arial"/>
          <w:color w:val="1A1A1A"/>
          <w:sz w:val="22"/>
          <w:szCs w:val="22"/>
        </w:rPr>
        <w:t>Low / Moderate: AI Governance Lead.</w:t>
      </w:r>
    </w:p>
    <w:p>
      <w:pPr>
        <w:pStyle w:val="ListParagraph"/>
        <w:numPr>
          <w:ilvl w:val="1"/>
          <w:numId w:val="1"/>
        </w:numPr>
        <w:spacing w:lineRule="exact" w:line="280" w:before="40" w:after="40"/>
        <w:rPr/>
      </w:pPr>
      <w:r>
        <w:rPr>
          <w:rFonts w:eastAsia="Arial" w:cs="Arial"/>
          <w:color w:val="1A1A1A"/>
          <w:sz w:val="22"/>
          <w:szCs w:val="22"/>
        </w:rPr>
        <w:t xml:space="preserve">— </w:t>
      </w:r>
      <w:r>
        <w:rPr>
          <w:rFonts w:eastAsia="Arial" w:cs="Arial"/>
          <w:color w:val="1A1A1A"/>
          <w:sz w:val="22"/>
          <w:szCs w:val="22"/>
        </w:rPr>
        <w:t>High: AI Governance Lead with CEO awareness.</w:t>
      </w:r>
    </w:p>
    <w:p>
      <w:pPr>
        <w:pStyle w:val="ListParagraph"/>
        <w:numPr>
          <w:ilvl w:val="1"/>
          <w:numId w:val="1"/>
        </w:numPr>
        <w:spacing w:lineRule="exact" w:line="280" w:before="40" w:after="40"/>
        <w:rPr/>
      </w:pPr>
      <w:r>
        <w:rPr>
          <w:rFonts w:eastAsia="Arial" w:cs="Arial"/>
          <w:color w:val="1A1A1A"/>
          <w:sz w:val="22"/>
          <w:szCs w:val="22"/>
        </w:rPr>
        <w:t xml:space="preserve">— </w:t>
      </w:r>
      <w:r>
        <w:rPr>
          <w:rFonts w:eastAsia="Arial" w:cs="Arial"/>
          <w:color w:val="1A1A1A"/>
          <w:sz w:val="22"/>
          <w:szCs w:val="22"/>
        </w:rPr>
        <w:t>Critical: Chief Executive Officer.</w:t>
      </w:r>
    </w:p>
    <w:p>
      <w:pPr>
        <w:pStyle w:val="ListParagraph"/>
        <w:numPr>
          <w:ilvl w:val="0"/>
          <w:numId w:val="1"/>
        </w:numPr>
        <w:spacing w:lineRule="exact" w:line="280" w:before="40" w:after="40"/>
        <w:rPr/>
      </w:pPr>
      <w:r>
        <w:rPr>
          <w:rFonts w:eastAsia="Arial" w:cs="Arial"/>
          <w:color w:val="1A1A1A"/>
          <w:sz w:val="22"/>
          <w:szCs w:val="22"/>
        </w:rPr>
        <w:t>Where residual impact cannot be reduced to acceptable levels, deployment is delayed or the AI system is reshaped.</w:t>
      </w:r>
    </w:p>
    <w:p>
      <w:pPr>
        <w:pStyle w:val="Heading1"/>
        <w:spacing w:before="360" w:after="180"/>
        <w:rPr/>
      </w:pPr>
      <w:r>
        <w:rPr>
          <w:rFonts w:eastAsia="Arial" w:cs="Arial" w:ascii="Arial" w:hAnsi="Arial"/>
          <w:b/>
          <w:bCs/>
          <w:color w:val="0000FF"/>
          <w:sz w:val="36"/>
          <w:szCs w:val="36"/>
        </w:rPr>
        <w:t>12. Stage 7 — Documentation and Sign-Off</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AISIA record in AI-REG-AISIA-001 is completed with:</w:t>
      </w:r>
    </w:p>
    <w:p>
      <w:pPr>
        <w:pStyle w:val="ListParagraph"/>
        <w:numPr>
          <w:ilvl w:val="0"/>
          <w:numId w:val="1"/>
        </w:numPr>
        <w:spacing w:lineRule="exact" w:line="280" w:before="40" w:after="40"/>
        <w:rPr/>
      </w:pPr>
      <w:r>
        <w:rPr>
          <w:rFonts w:eastAsia="Arial" w:cs="Arial"/>
          <w:color w:val="1A1A1A"/>
          <w:sz w:val="22"/>
          <w:szCs w:val="22"/>
        </w:rPr>
        <w:t>AISIA reference and date.</w:t>
      </w:r>
    </w:p>
    <w:p>
      <w:pPr>
        <w:pStyle w:val="ListParagraph"/>
        <w:numPr>
          <w:ilvl w:val="0"/>
          <w:numId w:val="1"/>
        </w:numPr>
        <w:spacing w:lineRule="exact" w:line="280" w:before="40" w:after="40"/>
        <w:rPr/>
      </w:pPr>
      <w:r>
        <w:rPr>
          <w:rFonts w:eastAsia="Arial" w:cs="Arial"/>
          <w:color w:val="1A1A1A"/>
          <w:sz w:val="22"/>
          <w:szCs w:val="22"/>
        </w:rPr>
        <w:t>AI system identifier (linked to AI-REG-INV-001).</w:t>
      </w:r>
    </w:p>
    <w:p>
      <w:pPr>
        <w:pStyle w:val="ListParagraph"/>
        <w:numPr>
          <w:ilvl w:val="0"/>
          <w:numId w:val="1"/>
        </w:numPr>
        <w:spacing w:lineRule="exact" w:line="280" w:before="40" w:after="40"/>
        <w:rPr/>
      </w:pPr>
      <w:r>
        <w:rPr>
          <w:rFonts w:eastAsia="Arial" w:cs="Arial"/>
          <w:color w:val="1A1A1A"/>
          <w:sz w:val="22"/>
          <w:szCs w:val="22"/>
        </w:rPr>
        <w:t>Trigger for the assessment.</w:t>
      </w:r>
    </w:p>
    <w:p>
      <w:pPr>
        <w:pStyle w:val="ListParagraph"/>
        <w:numPr>
          <w:ilvl w:val="0"/>
          <w:numId w:val="1"/>
        </w:numPr>
        <w:spacing w:lineRule="exact" w:line="280" w:before="40" w:after="40"/>
        <w:rPr/>
      </w:pPr>
      <w:r>
        <w:rPr>
          <w:rFonts w:eastAsia="Arial" w:cs="Arial"/>
          <w:color w:val="1A1A1A"/>
          <w:sz w:val="22"/>
          <w:szCs w:val="22"/>
        </w:rPr>
        <w:t>Affected parties and how they may be affected.</w:t>
      </w:r>
    </w:p>
    <w:p>
      <w:pPr>
        <w:pStyle w:val="ListParagraph"/>
        <w:numPr>
          <w:ilvl w:val="0"/>
          <w:numId w:val="1"/>
        </w:numPr>
        <w:spacing w:lineRule="exact" w:line="280" w:before="40" w:after="40"/>
        <w:rPr/>
      </w:pPr>
      <w:r>
        <w:rPr>
          <w:rFonts w:eastAsia="Arial" w:cs="Arial"/>
          <w:color w:val="1A1A1A"/>
          <w:sz w:val="22"/>
          <w:szCs w:val="22"/>
        </w:rPr>
        <w:t>Identified impacts (severity / likelihood / reversibility ratings).</w:t>
      </w:r>
    </w:p>
    <w:p>
      <w:pPr>
        <w:pStyle w:val="ListParagraph"/>
        <w:numPr>
          <w:ilvl w:val="0"/>
          <w:numId w:val="1"/>
        </w:numPr>
        <w:spacing w:lineRule="exact" w:line="280" w:before="40" w:after="40"/>
        <w:rPr/>
      </w:pPr>
      <w:r>
        <w:rPr>
          <w:rFonts w:eastAsia="Arial" w:cs="Arial"/>
          <w:color w:val="1A1A1A"/>
          <w:sz w:val="22"/>
          <w:szCs w:val="22"/>
        </w:rPr>
        <w:t>Mitigations agreed (with owner, target date, status).</w:t>
      </w:r>
    </w:p>
    <w:p>
      <w:pPr>
        <w:pStyle w:val="ListParagraph"/>
        <w:numPr>
          <w:ilvl w:val="0"/>
          <w:numId w:val="1"/>
        </w:numPr>
        <w:spacing w:lineRule="exact" w:line="280" w:before="40" w:after="40"/>
        <w:rPr/>
      </w:pPr>
      <w:r>
        <w:rPr>
          <w:rFonts w:eastAsia="Arial" w:cs="Arial"/>
          <w:color w:val="1A1A1A"/>
          <w:sz w:val="22"/>
          <w:szCs w:val="22"/>
        </w:rPr>
        <w:t>Residual impact assessment.</w:t>
      </w:r>
    </w:p>
    <w:p>
      <w:pPr>
        <w:pStyle w:val="ListParagraph"/>
        <w:numPr>
          <w:ilvl w:val="0"/>
          <w:numId w:val="1"/>
        </w:numPr>
        <w:spacing w:lineRule="exact" w:line="280" w:before="40" w:after="40"/>
        <w:rPr/>
      </w:pPr>
      <w:r>
        <w:rPr>
          <w:rFonts w:eastAsia="Arial" w:cs="Arial"/>
          <w:color w:val="1A1A1A"/>
          <w:sz w:val="22"/>
          <w:szCs w:val="22"/>
        </w:rPr>
        <w:t>Acceptance and sign-off (with date and role).</w:t>
      </w:r>
    </w:p>
    <w:p>
      <w:pPr>
        <w:pStyle w:val="ListParagraph"/>
        <w:numPr>
          <w:ilvl w:val="0"/>
          <w:numId w:val="1"/>
        </w:numPr>
        <w:spacing w:lineRule="exact" w:line="280" w:before="40" w:after="40"/>
        <w:rPr/>
      </w:pPr>
      <w:r>
        <w:rPr>
          <w:rFonts w:eastAsia="Arial" w:cs="Arial"/>
          <w:color w:val="1A1A1A"/>
          <w:sz w:val="22"/>
          <w:szCs w:val="22"/>
        </w:rPr>
        <w:t>Refresh date and triggers.</w:t>
      </w:r>
    </w:p>
    <w:p>
      <w:pPr>
        <w:pStyle w:val="ListParagraph"/>
        <w:numPr>
          <w:ilvl w:val="0"/>
          <w:numId w:val="1"/>
        </w:numPr>
        <w:spacing w:lineRule="exact" w:line="280" w:before="40" w:after="40"/>
        <w:rPr/>
      </w:pPr>
      <w:r>
        <w:rPr>
          <w:rFonts w:eastAsia="Arial" w:cs="Arial"/>
          <w:color w:val="1A1A1A"/>
          <w:sz w:val="22"/>
          <w:szCs w:val="22"/>
        </w:rPr>
        <w:t>Cross-references to: DPIA (where applicable), AI Risk Register entries, AI System Inventory entry, related incidents.</w:t>
      </w:r>
    </w:p>
    <w:p>
      <w:pPr>
        <w:pStyle w:val="Heading1"/>
        <w:spacing w:before="360" w:after="180"/>
        <w:rPr/>
      </w:pPr>
      <w:r>
        <w:rPr>
          <w:rFonts w:eastAsia="Arial" w:cs="Arial" w:ascii="Arial" w:hAnsi="Arial"/>
          <w:b/>
          <w:bCs/>
          <w:color w:val="0000FF"/>
          <w:sz w:val="36"/>
          <w:szCs w:val="36"/>
        </w:rPr>
        <w:t>13. Stage 8 — Refresh Triggers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is refreshed:</w:t>
      </w:r>
    </w:p>
    <w:p>
      <w:pPr>
        <w:pStyle w:val="ListParagraph"/>
        <w:numPr>
          <w:ilvl w:val="0"/>
          <w:numId w:val="1"/>
        </w:numPr>
        <w:spacing w:lineRule="exact" w:line="280" w:before="40" w:after="40"/>
        <w:rPr/>
      </w:pPr>
      <w:r>
        <w:rPr>
          <w:rFonts w:eastAsia="Arial" w:cs="Arial"/>
          <w:color w:val="1A1A1A"/>
          <w:sz w:val="22"/>
          <w:szCs w:val="22"/>
        </w:rPr>
        <w:t>On the cadence set in the record (typically annually for production AI systems).</w:t>
      </w:r>
    </w:p>
    <w:p>
      <w:pPr>
        <w:pStyle w:val="ListParagraph"/>
        <w:numPr>
          <w:ilvl w:val="0"/>
          <w:numId w:val="1"/>
        </w:numPr>
        <w:spacing w:lineRule="exact" w:line="280" w:before="40" w:after="40"/>
        <w:rPr/>
      </w:pPr>
      <w:r>
        <w:rPr>
          <w:rFonts w:eastAsia="Arial" w:cs="Arial"/>
          <w:color w:val="1A1A1A"/>
          <w:sz w:val="22"/>
          <w:szCs w:val="22"/>
        </w:rPr>
        <w:t>On material change to the AI system (new model, new third-party provider, expanded user population, expanded use case, change of training data).</w:t>
      </w:r>
    </w:p>
    <w:p>
      <w:pPr>
        <w:pStyle w:val="ListParagraph"/>
        <w:numPr>
          <w:ilvl w:val="0"/>
          <w:numId w:val="1"/>
        </w:numPr>
        <w:spacing w:lineRule="exact" w:line="280" w:before="40" w:after="40"/>
        <w:rPr/>
      </w:pPr>
      <w:r>
        <w:rPr>
          <w:rFonts w:eastAsia="Arial" w:cs="Arial"/>
          <w:color w:val="1A1A1A"/>
          <w:sz w:val="22"/>
          <w:szCs w:val="22"/>
        </w:rPr>
        <w:t>Following an AI incident that indicates the AISIA underestimated impact.</w:t>
      </w:r>
    </w:p>
    <w:p>
      <w:pPr>
        <w:pStyle w:val="ListParagraph"/>
        <w:numPr>
          <w:ilvl w:val="0"/>
          <w:numId w:val="1"/>
        </w:numPr>
        <w:spacing w:lineRule="exact" w:line="280" w:before="40" w:after="40"/>
        <w:rPr/>
      </w:pPr>
      <w:r>
        <w:rPr>
          <w:rFonts w:eastAsia="Arial" w:cs="Arial"/>
          <w:color w:val="1A1A1A"/>
          <w:sz w:val="22"/>
          <w:szCs w:val="22"/>
        </w:rPr>
        <w:t>On request from the AI Governance Lead, CEO, customer (where contracted), or regulator.</w:t>
      </w:r>
    </w:p>
    <w:p>
      <w:pPr>
        <w:pStyle w:val="ListParagraph"/>
        <w:numPr>
          <w:ilvl w:val="0"/>
          <w:numId w:val="1"/>
        </w:numPr>
        <w:spacing w:lineRule="exact" w:line="280" w:before="40" w:after="40"/>
        <w:rPr/>
      </w:pPr>
      <w:r>
        <w:rPr>
          <w:rFonts w:eastAsia="Arial" w:cs="Arial"/>
          <w:color w:val="1A1A1A"/>
          <w:sz w:val="22"/>
          <w:szCs w:val="22"/>
        </w:rPr>
        <w:t>On material change to the regulatory or ethical landscape.</w:t>
      </w:r>
    </w:p>
    <w:p>
      <w:pPr>
        <w:pStyle w:val="Heading1"/>
        <w:spacing w:before="360" w:after="180"/>
        <w:rPr/>
      </w:pPr>
      <w:r>
        <w:rPr>
          <w:rFonts w:eastAsia="Arial" w:cs="Arial" w:ascii="Arial" w:hAnsi="Arial"/>
          <w:b/>
          <w:bCs/>
          <w:color w:val="0000FF"/>
          <w:sz w:val="36"/>
          <w:szCs w:val="36"/>
        </w:rPr>
        <w:t>14. Light, Standard, and Enhanced AISIA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Assessment depth scales with anticipated impact:</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1699"/>
        <w:gridCol w:w="4500"/>
        <w:gridCol w:w="2827"/>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DEPTH</w:t>
            </w:r>
          </w:p>
        </w:tc>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WHEN APPROPRIATE</w:t>
            </w:r>
          </w:p>
        </w:tc>
        <w:tc>
          <w:tcPr>
            <w:tcW w:w="28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TYPICAL EFFORT</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Light</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Internal-only AI tools; low expected impact; non-customer-facing</w:t>
            </w:r>
          </w:p>
        </w:tc>
        <w:tc>
          <w:tcPr>
            <w:tcW w:w="28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0.5–1 day; condensed template; AI Governance Lead sign-off</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Standard</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New customer-facing AI features; material changes to existing customer-facing features</w:t>
            </w:r>
          </w:p>
        </w:tc>
        <w:tc>
          <w:tcPr>
            <w:tcW w:w="28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2–5 days; full template; multi-disciplinary input; AI Governance Lead sign-off</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Enhanced</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Use cases requiring enhanced review per AI-POL-010 §9; high anticipated impact; novel AI capabilities</w:t>
            </w:r>
          </w:p>
        </w:tc>
        <w:tc>
          <w:tcPr>
            <w:tcW w:w="28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5+ days; external input where appropriate; CEO sign-off</w:t>
            </w:r>
          </w:p>
        </w:tc>
      </w:tr>
    </w:tbl>
    <w:p>
      <w:pPr>
        <w:pStyle w:val="Heading1"/>
        <w:spacing w:before="360" w:after="180"/>
        <w:rPr/>
      </w:pPr>
      <w:r>
        <w:rPr>
          <w:rFonts w:eastAsia="Arial" w:cs="Arial" w:ascii="Arial" w:hAnsi="Arial"/>
          <w:b/>
          <w:bCs/>
          <w:color w:val="0000FF"/>
          <w:sz w:val="36"/>
          <w:szCs w:val="36"/>
        </w:rPr>
        <w:t>15. Coordination with DPIA (REG-DPIA-001)</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the AI system involves personal data, AISIA and DPIA (under POL-010) are conducted in coordination.</w:t>
      </w:r>
    </w:p>
    <w:p>
      <w:pPr>
        <w:pStyle w:val="ListParagraph"/>
        <w:numPr>
          <w:ilvl w:val="0"/>
          <w:numId w:val="1"/>
        </w:numPr>
        <w:spacing w:lineRule="exact" w:line="280" w:before="40" w:after="40"/>
        <w:rPr/>
      </w:pPr>
      <w:r>
        <w:rPr>
          <w:rFonts w:eastAsia="Arial" w:cs="Arial"/>
          <w:color w:val="1A1A1A"/>
          <w:sz w:val="22"/>
          <w:szCs w:val="22"/>
        </w:rPr>
        <w:t>A combined AISIA + DPIA record is acceptable provided both standards’ requirements are met.</w:t>
      </w:r>
    </w:p>
    <w:p>
      <w:pPr>
        <w:pStyle w:val="ListParagraph"/>
        <w:numPr>
          <w:ilvl w:val="0"/>
          <w:numId w:val="1"/>
        </w:numPr>
        <w:spacing w:lineRule="exact" w:line="280" w:before="40" w:after="40"/>
        <w:rPr/>
      </w:pPr>
      <w:r>
        <w:rPr>
          <w:rFonts w:eastAsia="Arial" w:cs="Arial"/>
          <w:color w:val="1A1A1A"/>
          <w:sz w:val="22"/>
          <w:szCs w:val="22"/>
        </w:rPr>
        <w:t>Where separate records are maintained, cross-references between AI-REG-AISIA-001 and REG-DPIA-001 are maintained.</w:t>
      </w:r>
    </w:p>
    <w:p>
      <w:pPr>
        <w:pStyle w:val="ListParagraph"/>
        <w:numPr>
          <w:ilvl w:val="0"/>
          <w:numId w:val="1"/>
        </w:numPr>
        <w:spacing w:lineRule="exact" w:line="280" w:before="40" w:after="40"/>
        <w:rPr/>
      </w:pPr>
      <w:r>
        <w:rPr>
          <w:rFonts w:eastAsia="Arial" w:cs="Arial"/>
          <w:color w:val="1A1A1A"/>
          <w:sz w:val="22"/>
          <w:szCs w:val="22"/>
        </w:rPr>
        <w:t>ICO consultation under Article 36 may be required where DPIA shows high residual risk — the AISIA outputs are part of the consultation.</w:t>
      </w:r>
    </w:p>
    <w:p>
      <w:pPr>
        <w:pStyle w:val="Heading1"/>
        <w:spacing w:before="360" w:after="180"/>
        <w:rPr/>
      </w:pPr>
      <w:r>
        <w:rPr>
          <w:rFonts w:eastAsia="Arial" w:cs="Arial" w:ascii="Arial" w:hAnsi="Arial"/>
          <w:b/>
          <w:bCs/>
          <w:color w:val="0000FF"/>
          <w:sz w:val="36"/>
          <w:szCs w:val="36"/>
        </w:rPr>
        <w:t>16. AISIA Template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AISIA template is held in the AIMS repository alongside this Procedure. It contains the structure described in Section 12 with prompts for each section, and is used for every standard and enhanced AISIA. Light AISIA uses a condensed version of the same template.</w:t>
      </w:r>
    </w:p>
    <w:p>
      <w:pPr>
        <w:pStyle w:val="Heading1"/>
        <w:spacing w:before="360" w:after="180"/>
        <w:rPr/>
      </w:pPr>
      <w:r>
        <w:rPr>
          <w:rFonts w:eastAsia="Arial" w:cs="Arial" w:ascii="Arial" w:hAnsi="Arial"/>
          <w:b/>
          <w:bCs/>
          <w:color w:val="0000FF"/>
          <w:sz w:val="36"/>
          <w:szCs w:val="36"/>
        </w:rPr>
        <w:t>17. Records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records are held in AI-REG-AISIA-001.</w:t>
      </w:r>
    </w:p>
    <w:p>
      <w:pPr>
        <w:pStyle w:val="ListParagraph"/>
        <w:numPr>
          <w:ilvl w:val="0"/>
          <w:numId w:val="1"/>
        </w:numPr>
        <w:spacing w:lineRule="exact" w:line="280" w:before="40" w:after="40"/>
        <w:rPr/>
      </w:pPr>
      <w:r>
        <w:rPr>
          <w:rFonts w:eastAsia="Arial" w:cs="Arial"/>
          <w:color w:val="1A1A1A"/>
          <w:sz w:val="22"/>
          <w:szCs w:val="22"/>
        </w:rPr>
        <w:t>Each AISIA has a unique identifier (AISIA-NNN).</w:t>
      </w:r>
    </w:p>
    <w:p>
      <w:pPr>
        <w:pStyle w:val="ListParagraph"/>
        <w:numPr>
          <w:ilvl w:val="0"/>
          <w:numId w:val="1"/>
        </w:numPr>
        <w:spacing w:lineRule="exact" w:line="280" w:before="40" w:after="40"/>
        <w:rPr/>
      </w:pPr>
      <w:r>
        <w:rPr>
          <w:rFonts w:eastAsia="Arial" w:cs="Arial"/>
          <w:color w:val="1A1A1A"/>
          <w:sz w:val="22"/>
          <w:szCs w:val="22"/>
        </w:rPr>
        <w:t>Records are retained per POL-009 — minimum 6 years from the AI system’s decommissioning or 6 years from AISIA closure if the system is in operation.</w:t>
      </w:r>
    </w:p>
    <w:p>
      <w:pPr>
        <w:pStyle w:val="Heading1"/>
        <w:spacing w:before="360" w:after="180"/>
        <w:rPr/>
      </w:pPr>
      <w:r>
        <w:rPr>
          <w:rFonts w:eastAsia="Arial" w:cs="Arial" w:ascii="Arial" w:hAnsi="Arial"/>
          <w:b/>
          <w:bCs/>
          <w:color w:val="0000FF"/>
          <w:sz w:val="36"/>
          <w:szCs w:val="36"/>
        </w:rPr>
        <w:t>18.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discipline is monitored under AI-PROG-COMP-001.</w:t>
      </w:r>
    </w:p>
    <w:p>
      <w:pPr>
        <w:pStyle w:val="ListParagraph"/>
        <w:numPr>
          <w:ilvl w:val="0"/>
          <w:numId w:val="1"/>
        </w:numPr>
        <w:spacing w:lineRule="exact" w:line="280" w:before="40" w:after="40"/>
        <w:rPr/>
      </w:pPr>
      <w:r>
        <w:rPr>
          <w:rFonts w:eastAsia="Arial" w:cs="Arial"/>
          <w:color w:val="1A1A1A"/>
          <w:sz w:val="22"/>
          <w:szCs w:val="22"/>
        </w:rPr>
        <w:t>Auditors will typically sample recent AI features and verify a current AISIA exists.</w:t>
      </w:r>
    </w:p>
    <w:p>
      <w:pPr>
        <w:pStyle w:val="Heading1"/>
        <w:spacing w:before="360" w:after="180"/>
        <w:rPr/>
      </w:pPr>
      <w:r>
        <w:rPr>
          <w:rFonts w:eastAsia="Arial" w:cs="Arial" w:ascii="Arial" w:hAnsi="Arial"/>
          <w:b/>
          <w:bCs/>
          <w:color w:val="0000FF"/>
          <w:sz w:val="36"/>
          <w:szCs w:val="36"/>
        </w:rPr>
        <w:t>19.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is reviewed at least annually.</w:t>
      </w:r>
    </w:p>
    <w:p>
      <w:pPr>
        <w:pStyle w:val="Heading1"/>
        <w:spacing w:before="360" w:after="180"/>
        <w:rPr/>
      </w:pPr>
      <w:r>
        <w:rPr>
          <w:rFonts w:eastAsia="Arial" w:cs="Arial" w:ascii="Arial" w:hAnsi="Arial"/>
          <w:b/>
          <w:bCs/>
          <w:color w:val="0000FF"/>
          <w:sz w:val="36"/>
          <w:szCs w:val="36"/>
        </w:rPr>
        <w:t>20.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involved in AISIA acknowledge this Procedure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42001:2023 Annex A controls, as recorded in the Cloudax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impact assessment process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Documentation of AI system impact assessments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Assessing AI system impact on individuals or groups of individuals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A.5.5</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Assessing societal impacts of AI systems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 and Cloudax AIMS Statement of Applicability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AI-PRO-002 AI System Impact Assessment Procedure (AISIA)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AI-PRO-002 AI System Impact Assessment Procedure (AISIA)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2026-04-17T16:20:55Z</dcterms:created>
  <dc:creator>David Stokes</dc:creator>
  <dc:description/>
  <dc:language>en-US</dc:language>
  <cp:lastModifiedBy>David Stokes</cp:lastModifiedBy>
  <dcterms:modified xsi:type="dcterms:W3CDTF">2026-04-17T17:42:55Z</dcterms:modified>
  <cp:revision>1</cp:revision>
  <dc:subject/>
  <dc:title>Cloudax AI System Impact Assessment Procedure (AISIA)</dc:title>
</cp:coreProperties>
</file>

<file path=docProps/custom.xml><?xml version="1.0" encoding="utf-8"?>
<Properties xmlns="http://schemas.openxmlformats.org/officeDocument/2006/custom-properties" xmlns:vt="http://schemas.openxmlformats.org/officeDocument/2006/docPropsVTypes"/>
</file>