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400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14400"/>
      </w:tblGrid>
      <w:tr>
        <w:trPr>
          <w:trHeight w:val="3800" w:hRule="atLeast"/>
        </w:trPr>
        <w:tc>
          <w:tcPr>
            <w:tcW w:w="14400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AI Data and Models Register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440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7200"/>
        <w:gridCol w:w="7199"/>
      </w:tblGrid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AI-REG-DATA-001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Data and Models Register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How to Use This Register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Dataset Schema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Model Schema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The Register — Datasets (template + worked examples)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The Register — Models (template + worked examples)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Relationship with Other Registers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Review Cadence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Register holds the inventory of every dataset and model used in AI systems within the Cloudax AIMS scope.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A.4.3 Data resources; A.7.2 Data for development and enhancement of AI systems; A.7.5 Data provenance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Register covers all training, evaluation, fine-tuning, reference, embedding, and prompt datasets, plus all in-house and material third-party models used in AI systems within the AIMS scope.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Definitions are per AI-POL-006 §3.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owns this Register; ensures completeness.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Builders: maintain entries for datasets and models in their domain.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reviews entries involving personal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uses the Register to verify provenance and lawful basis at audit and AISIA points.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How to Use This Register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dataset has a unique identifier (AI-DAT-NNN).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model has a unique identifier (AI-MOD-NNN).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Datasets and models are cross-referenced — each model entry lists the datasets used to produce it.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document holds template + worked examples; the live register is maintained as a structured store.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Dataset Schema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Each dataset entry contains: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Identifier (AI-DAT-NNN); name; description.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Source(s) and acquisition date; lawful basis; licence (if any).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Classification per POL-004.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Personal data (Yes / No / Pseudonymised); special category (Yes / No).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Quality assessment summary (date, key findings).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Preparation pipeline reference and version.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Used by (AI system reference(s) and model reference(s)).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Retention period and disposal plan.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Owner; review date.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Model Schema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Each model entry contains: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Identifier (AI-MOD-NNN); name; version.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Type (e.g. classifier, embedding, foundation, fine-tuned).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Source (in-house trained, in-house fine-tuned, third-party foundation model + provider).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Training datasets (cross-reference to AI-DAT-NNN entries).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Evaluation datasets and headline metrics.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Used by (AI system reference(s)).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Status (Production / Staging / Retired).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Owner; review date.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The Register — Datasets (template + worked examples)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159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00"/>
        <w:gridCol w:w="3499"/>
        <w:gridCol w:w="2700"/>
        <w:gridCol w:w="900"/>
        <w:gridCol w:w="1000"/>
        <w:gridCol w:w="2301"/>
        <w:gridCol w:w="1499"/>
        <w:gridCol w:w="1100"/>
        <w:gridCol w:w="1101"/>
        <w:gridCol w:w="798"/>
      </w:tblGrid>
      <w:tr>
        <w:trPr>
          <w:tblHeader w:val="true"/>
        </w:trPr>
        <w:tc>
          <w:tcPr>
            <w:tcW w:w="10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ID</w:t>
            </w:r>
          </w:p>
        </w:tc>
        <w:tc>
          <w:tcPr>
            <w:tcW w:w="34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SOURCE</w:t>
            </w:r>
          </w:p>
        </w:tc>
        <w:tc>
          <w:tcPr>
            <w:tcW w:w="9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CLASS</w:t>
            </w:r>
          </w:p>
        </w:tc>
        <w:tc>
          <w:tcPr>
            <w:tcW w:w="10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PD</w:t>
            </w:r>
          </w:p>
        </w:tc>
        <w:tc>
          <w:tcPr>
            <w:tcW w:w="23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QUALITY</w:t>
            </w:r>
          </w:p>
        </w:tc>
        <w:tc>
          <w:tcPr>
            <w:tcW w:w="14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USED BY</w:t>
            </w:r>
          </w:p>
        </w:tc>
        <w:tc>
          <w:tcPr>
            <w:tcW w:w="11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RETENTION</w:t>
            </w:r>
          </w:p>
        </w:tc>
        <w:tc>
          <w:tcPr>
            <w:tcW w:w="11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OWNER</w:t>
            </w:r>
          </w:p>
        </w:tc>
        <w:tc>
          <w:tcPr>
            <w:tcW w:w="798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REVIEW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AI-DAT-001</w:t>
            </w:r>
          </w:p>
        </w:tc>
        <w:tc>
          <w:tcPr>
            <w:tcW w:w="3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Customer voice corpus (training subset, customer A)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Customer A under DPA permission</w:t>
            </w:r>
          </w:p>
        </w:tc>
        <w:tc>
          <w:tcPr>
            <w:tcW w:w="9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Restricted</w:t>
            </w:r>
          </w:p>
        </w:tc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Yes (transcribed)</w:t>
            </w:r>
          </w:p>
        </w:tc>
        <w:tc>
          <w:tcPr>
            <w:tcW w:w="2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Apr 2026 — representative across customer A’s use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AI-MOD-005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End of customer contract + 30 days</w:t>
            </w:r>
          </w:p>
        </w:tc>
        <w:tc>
          <w:tcPr>
            <w:tcW w:w="11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CTO</w:t>
            </w:r>
          </w:p>
        </w:tc>
        <w:tc>
          <w:tcPr>
            <w:tcW w:w="7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Annual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AI-DAT-002</w:t>
            </w:r>
          </w:p>
        </w:tc>
        <w:tc>
          <w:tcPr>
            <w:tcW w:w="3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Public conversational AI evaluation set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Open public dataset (cite source)</w:t>
            </w:r>
          </w:p>
        </w:tc>
        <w:tc>
          <w:tcPr>
            <w:tcW w:w="9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Public</w:t>
            </w:r>
          </w:p>
        </w:tc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No</w:t>
            </w:r>
          </w:p>
        </w:tc>
        <w:tc>
          <w:tcPr>
            <w:tcW w:w="2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Mar 2026 — known accent coverage gaps documented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AI-MOD-005 (eval)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5 years</w:t>
            </w:r>
          </w:p>
        </w:tc>
        <w:tc>
          <w:tcPr>
            <w:tcW w:w="11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CTO</w:t>
            </w:r>
          </w:p>
        </w:tc>
        <w:tc>
          <w:tcPr>
            <w:tcW w:w="7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Annual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AI-DAT-003</w:t>
            </w:r>
          </w:p>
        </w:tc>
        <w:tc>
          <w:tcPr>
            <w:tcW w:w="3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Internal labelled intent classification corpus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Cloudax personnel labelling</w:t>
            </w:r>
          </w:p>
        </w:tc>
        <w:tc>
          <w:tcPr>
            <w:tcW w:w="9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Internal</w:t>
            </w:r>
          </w:p>
        </w:tc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Pseudonymised</w:t>
            </w:r>
          </w:p>
        </w:tc>
        <w:tc>
          <w:tcPr>
            <w:tcW w:w="2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Mar 2026 — IAA 0.85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AI-MOD-005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End of model life + 1 year</w:t>
            </w:r>
          </w:p>
        </w:tc>
        <w:tc>
          <w:tcPr>
            <w:tcW w:w="11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CTO</w:t>
            </w:r>
          </w:p>
        </w:tc>
        <w:tc>
          <w:tcPr>
            <w:tcW w:w="7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Annual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AI-DAT-004</w:t>
            </w:r>
          </w:p>
        </w:tc>
        <w:tc>
          <w:tcPr>
            <w:tcW w:w="3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Synthetic dialogue corpus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AI-MOD-001 generated, seeded by AI-DAT-002</w:t>
            </w:r>
          </w:p>
        </w:tc>
        <w:tc>
          <w:tcPr>
            <w:tcW w:w="9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Internal</w:t>
            </w:r>
          </w:p>
        </w:tc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No</w:t>
            </w:r>
          </w:p>
        </w:tc>
        <w:tc>
          <w:tcPr>
            <w:tcW w:w="2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Apr 2026 — utility comparable to real data on intent task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AI-MOD-005 (augmentation)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End of model life + 1 year</w:t>
            </w:r>
          </w:p>
        </w:tc>
        <w:tc>
          <w:tcPr>
            <w:tcW w:w="11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CTO</w:t>
            </w:r>
          </w:p>
        </w:tc>
        <w:tc>
          <w:tcPr>
            <w:tcW w:w="7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Annual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AI-DAT-005</w:t>
            </w:r>
          </w:p>
        </w:tc>
        <w:tc>
          <w:tcPr>
            <w:tcW w:w="3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Bias evaluation suite (accent / dialect)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Combined sources — cited</w:t>
            </w:r>
          </w:p>
        </w:tc>
        <w:tc>
          <w:tcPr>
            <w:tcW w:w="9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Internal</w:t>
            </w:r>
          </w:p>
        </w:tc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Pseudonymised</w:t>
            </w:r>
          </w:p>
        </w:tc>
        <w:tc>
          <w:tcPr>
            <w:tcW w:w="2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Apr 2026 — used in V&amp;V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AI-MOD-005 (eval); AI-SYS-002 (eval)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5 years</w:t>
            </w:r>
          </w:p>
        </w:tc>
        <w:tc>
          <w:tcPr>
            <w:tcW w:w="11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CTO + Privacy Lead</w:t>
            </w:r>
          </w:p>
        </w:tc>
        <w:tc>
          <w:tcPr>
            <w:tcW w:w="7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Annual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AI-DAT-XXX</w:t>
            </w:r>
          </w:p>
        </w:tc>
        <w:tc>
          <w:tcPr>
            <w:tcW w:w="3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[next]</w:t>
            </w:r>
          </w:p>
        </w:tc>
        <w:tc>
          <w:tcPr>
            <w:tcW w:w="2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The Register — Models (template + worked examples)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164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00"/>
        <w:gridCol w:w="3500"/>
        <w:gridCol w:w="1000"/>
        <w:gridCol w:w="1699"/>
        <w:gridCol w:w="2701"/>
        <w:gridCol w:w="2199"/>
        <w:gridCol w:w="1501"/>
        <w:gridCol w:w="1099"/>
        <w:gridCol w:w="800"/>
        <w:gridCol w:w="899"/>
      </w:tblGrid>
      <w:tr>
        <w:trPr>
          <w:tblHeader w:val="true"/>
        </w:trPr>
        <w:tc>
          <w:tcPr>
            <w:tcW w:w="10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ID</w:t>
            </w:r>
          </w:p>
        </w:tc>
        <w:tc>
          <w:tcPr>
            <w:tcW w:w="3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NAME</w:t>
            </w:r>
          </w:p>
        </w:tc>
        <w:tc>
          <w:tcPr>
            <w:tcW w:w="10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VERSION</w:t>
            </w:r>
          </w:p>
        </w:tc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TYPE</w:t>
            </w:r>
          </w:p>
        </w:tc>
        <w:tc>
          <w:tcPr>
            <w:tcW w:w="27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SOURCE</w:t>
            </w:r>
          </w:p>
        </w:tc>
        <w:tc>
          <w:tcPr>
            <w:tcW w:w="21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TRAINING DATA</w:t>
            </w:r>
          </w:p>
        </w:tc>
        <w:tc>
          <w:tcPr>
            <w:tcW w:w="15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USED BY</w:t>
            </w:r>
          </w:p>
        </w:tc>
        <w:tc>
          <w:tcPr>
            <w:tcW w:w="10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STATUS</w:t>
            </w:r>
          </w:p>
        </w:tc>
        <w:tc>
          <w:tcPr>
            <w:tcW w:w="8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OWNER</w:t>
            </w:r>
          </w:p>
        </w:tc>
        <w:tc>
          <w:tcPr>
            <w:tcW w:w="8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REVIEW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AI-MOD-001</w:t>
            </w:r>
          </w:p>
        </w:tc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Cloudax dialogue manager (LLM-mediated)</w:t>
            </w:r>
          </w:p>
        </w:tc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v3.2</w:t>
            </w:r>
          </w:p>
        </w:tc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LLM-orchestrated</w:t>
            </w:r>
          </w:p>
        </w:tc>
        <w:tc>
          <w:tcPr>
            <w:tcW w:w="27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Third-party LLM (provider A) + system prompts</w:t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n/a (provider trained)</w:t>
            </w:r>
          </w:p>
        </w:tc>
        <w:tc>
          <w:tcPr>
            <w:tcW w:w="1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AI-SYS-001</w:t>
            </w:r>
          </w:p>
        </w:tc>
        <w:tc>
          <w:tcPr>
            <w:tcW w:w="10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Production</w:t>
            </w:r>
          </w:p>
        </w:tc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CTO</w:t>
            </w:r>
          </w:p>
        </w:tc>
        <w:tc>
          <w:tcPr>
            <w:tcW w:w="8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Quarterly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AI-MOD-002</w:t>
            </w:r>
          </w:p>
        </w:tc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Speech-to-text</w:t>
            </w:r>
          </w:p>
        </w:tc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Provider's v2.1</w:t>
            </w:r>
          </w:p>
        </w:tc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ASR</w:t>
            </w:r>
          </w:p>
        </w:tc>
        <w:tc>
          <w:tcPr>
            <w:tcW w:w="27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Third-party ASR provider</w:t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n/a (provider trained)</w:t>
            </w:r>
          </w:p>
        </w:tc>
        <w:tc>
          <w:tcPr>
            <w:tcW w:w="1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AI-SYS-002</w:t>
            </w:r>
          </w:p>
        </w:tc>
        <w:tc>
          <w:tcPr>
            <w:tcW w:w="10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Production</w:t>
            </w:r>
          </w:p>
        </w:tc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CTO</w:t>
            </w:r>
          </w:p>
        </w:tc>
        <w:tc>
          <w:tcPr>
            <w:tcW w:w="8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Quarterly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AI-MOD-003</w:t>
            </w:r>
          </w:p>
        </w:tc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Text-to-speech (synthetic voices)</w:t>
            </w:r>
          </w:p>
        </w:tc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Provider's v4.0</w:t>
            </w:r>
          </w:p>
        </w:tc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TTS</w:t>
            </w:r>
          </w:p>
        </w:tc>
        <w:tc>
          <w:tcPr>
            <w:tcW w:w="27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Third-party TTS provider</w:t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n/a (provider trained)</w:t>
            </w:r>
          </w:p>
        </w:tc>
        <w:tc>
          <w:tcPr>
            <w:tcW w:w="1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AI-SYS-003</w:t>
            </w:r>
          </w:p>
        </w:tc>
        <w:tc>
          <w:tcPr>
            <w:tcW w:w="10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Production</w:t>
            </w:r>
          </w:p>
        </w:tc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CTO</w:t>
            </w:r>
          </w:p>
        </w:tc>
        <w:tc>
          <w:tcPr>
            <w:tcW w:w="8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Annual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AI-MOD-004</w:t>
            </w:r>
          </w:p>
        </w:tc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Summarisation prompt-engineered model</w:t>
            </w:r>
          </w:p>
        </w:tc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v2.0</w:t>
            </w:r>
          </w:p>
        </w:tc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LLM-orchestrated</w:t>
            </w:r>
          </w:p>
        </w:tc>
        <w:tc>
          <w:tcPr>
            <w:tcW w:w="27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Third-party LLM (provider A) + system prompts</w:t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n/a</w:t>
            </w:r>
          </w:p>
        </w:tc>
        <w:tc>
          <w:tcPr>
            <w:tcW w:w="1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AI-SYS-004</w:t>
            </w:r>
          </w:p>
        </w:tc>
        <w:tc>
          <w:tcPr>
            <w:tcW w:w="10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Production</w:t>
            </w:r>
          </w:p>
        </w:tc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CTO</w:t>
            </w:r>
          </w:p>
        </w:tc>
        <w:tc>
          <w:tcPr>
            <w:tcW w:w="8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Quarterly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AI-MOD-005</w:t>
            </w:r>
          </w:p>
        </w:tc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Intent classifier (in-house fine-tuned)</w:t>
            </w:r>
          </w:p>
        </w:tc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v1.4</w:t>
            </w:r>
          </w:p>
        </w:tc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Fine-tuned classifier</w:t>
            </w:r>
          </w:p>
        </w:tc>
        <w:tc>
          <w:tcPr>
            <w:tcW w:w="27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In-house fine-tune of open base model</w:t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AI-DAT-001, AI-DAT-003, AI-DAT-004</w:t>
            </w:r>
          </w:p>
        </w:tc>
        <w:tc>
          <w:tcPr>
            <w:tcW w:w="1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AI-SYS-005</w:t>
            </w:r>
          </w:p>
        </w:tc>
        <w:tc>
          <w:tcPr>
            <w:tcW w:w="10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Production</w:t>
            </w:r>
          </w:p>
        </w:tc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CTO</w:t>
            </w:r>
          </w:p>
        </w:tc>
        <w:tc>
          <w:tcPr>
            <w:tcW w:w="8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Quarterly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AI-MOD-XXX</w:t>
            </w:r>
          </w:p>
        </w:tc>
        <w:tc>
          <w:tcPr>
            <w:tcW w:w="3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[next]</w:t>
            </w:r>
          </w:p>
        </w:tc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Relationship with Other Registers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AI-REG-INV-001: Each model and dataset references the AI system(s) using it.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AI-REG-3P-001: Third-party models and datasets reference the provider entry.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REG-IAR-001 (ISMS): Datasets that are also Cloudax information assets are cross-referenced.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REG-ROPA-001: Datasets containing personal data are reflected in ROPA entries.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Review Cadence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Production models: quarterly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Datasets in current training use: annual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Out-of-cycle review on material change.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Full register review annually for completeness.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Register is updated as datasets and models are added, change, or are retired.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document structure is reviewed at least annually.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 with schema and worked examples for the kinds of dataset and model Cloudax operates.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orient="landscape" w:w="16838" w:h="11906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7200" w:leader="none"/>
        <w:tab w:val="right" w:pos="14400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AI-REG-DATA-001 AI Data and Models Register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7200" w:leader="none"/>
        <w:tab w:val="right" w:pos="14400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AI-REG-DATA-001 AI Data and Models Register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2026-04-07T09:36:47Z</dcterms:created>
  <dc:creator>David Stokes</dc:creator>
  <dc:description/>
  <dc:language>en-US</dc:language>
  <cp:lastModifiedBy>David Stokes</cp:lastModifiedBy>
  <dcterms:modified xsi:type="dcterms:W3CDTF">2026-04-07T11:58:47Z</dcterms:modified>
  <cp:revision>1</cp:revision>
  <dc:subject/>
  <dc:title>Cloudax AI Data and Models Register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