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4400" w:type="dxa"/>
        <w:jc w:val="start"/>
        <w:tblInd w:w="0" w:type="dxa"/>
        <w:tblLayout w:type="fixed"/>
        <w:tblCellMar>
          <w:top w:w="700" w:type="dxa"/>
          <w:start w:w="600" w:type="dxa"/>
          <w:bottom w:w="700" w:type="dxa"/>
          <w:end w:w="600" w:type="dxa"/>
        </w:tblCellMar>
      </w:tblPr>
      <w:tblGrid>
        <w:gridCol w:w="14400"/>
      </w:tblGrid>
      <w:tr>
        <w:trPr>
          <w:trHeight w:val="3800" w:hRule="atLeast"/>
        </w:trPr>
        <w:tc>
          <w:tcPr>
            <w:tcW w:w="14400" w:type="dxa"/>
            <w:tcBorders/>
            <w:shd w:fill="0000FF" w:val="clear"/>
          </w:tcPr>
          <w:p>
            <w:pPr>
              <w:pStyle w:val="Normal"/>
              <w:spacing w:before="0" w:after="300"/>
              <w:jc w:val="center"/>
              <w:rPr/>
            </w:pPr>
            <w:r>
              <w:rPr/>
              <w:drawing>
                <wp:inline distT="0" distB="0" distL="0" distR="0">
                  <wp:extent cx="1428750" cy="108585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428750" cy="1085850"/>
                          </a:xfrm>
                          <a:prstGeom prst="rect">
                            <a:avLst/>
                          </a:prstGeom>
                        </pic:spPr>
                      </pic:pic>
                    </a:graphicData>
                  </a:graphic>
                </wp:inline>
              </w:drawing>
            </w:r>
          </w:p>
          <w:p>
            <w:pPr>
              <w:pStyle w:val="Normal"/>
              <w:spacing w:before="0" w:after="180"/>
              <w:jc w:val="center"/>
              <w:rPr/>
            </w:pPr>
            <w:r>
              <w:rPr>
                <w:rFonts w:eastAsia="Arial" w:cs="Arial"/>
                <w:b/>
                <w:bCs/>
                <w:color w:val="FFFFFF"/>
                <w:sz w:val="52"/>
                <w:szCs w:val="52"/>
              </w:rPr>
              <w:t>AI Incident Register</w:t>
            </w:r>
          </w:p>
          <w:p>
            <w:pPr>
              <w:pStyle w:val="Normal"/>
              <w:spacing w:before="0" w:after="40"/>
              <w:jc w:val="center"/>
              <w:rPr/>
            </w:pPr>
            <w:r>
              <w:rPr>
                <w:rFonts w:eastAsia="Arial" w:cs="Arial"/>
                <w:color w:val="FFFFFF"/>
                <w:sz w:val="22"/>
                <w:szCs w:val="22"/>
              </w:rPr>
              <w:t>AI Management System</w:t>
            </w:r>
          </w:p>
          <w:p>
            <w:pPr>
              <w:pStyle w:val="Normal"/>
              <w:spacing w:before="0" w:after="0"/>
              <w:jc w:val="center"/>
              <w:rPr/>
            </w:pPr>
            <w:r>
              <w:rPr>
                <w:rFonts w:eastAsia="Arial" w:cs="Arial"/>
                <w:i/>
                <w:iCs/>
                <w:color w:val="FFFFFF"/>
                <w:sz w:val="22"/>
                <w:szCs w:val="22"/>
              </w:rPr>
              <w:t>Conversational AI. Always connected.</w:t>
            </w:r>
          </w:p>
        </w:tc>
      </w:tr>
    </w:tbl>
    <w:p>
      <w:pPr>
        <w:pStyle w:val="Normal"/>
        <w:spacing w:before="60" w:after="60"/>
        <w:rPr/>
      </w:pPr>
      <w:r>
        <w:rPr/>
      </w:r>
    </w:p>
    <w:tbl>
      <w:tblPr>
        <w:tblW w:w="14400" w:type="dxa"/>
        <w:jc w:val="start"/>
        <w:tblInd w:w="0" w:type="dxa"/>
        <w:tblLayout w:type="fixed"/>
        <w:tblCellMar>
          <w:top w:w="140" w:type="dxa"/>
          <w:start w:w="200" w:type="dxa"/>
          <w:bottom w:w="140" w:type="dxa"/>
          <w:end w:w="200" w:type="dxa"/>
        </w:tblCellMar>
      </w:tblPr>
      <w:tblGrid>
        <w:gridCol w:w="7200"/>
        <w:gridCol w:w="7199"/>
      </w:tblGrid>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ID</w:t>
            </w:r>
          </w:p>
          <w:p>
            <w:pPr>
              <w:pStyle w:val="Normal"/>
              <w:spacing w:before="0" w:after="0"/>
              <w:rPr/>
            </w:pPr>
            <w:r>
              <w:rPr>
                <w:rFonts w:eastAsia="Arial" w:cs="Arial"/>
                <w:color w:val="1A1A1A"/>
                <w:sz w:val="22"/>
                <w:szCs w:val="22"/>
              </w:rPr>
              <w:t>AI-REG-INC-001</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VERSION</w:t>
            </w:r>
          </w:p>
          <w:p>
            <w:pPr>
              <w:pStyle w:val="Normal"/>
              <w:spacing w:before="0" w:after="0"/>
              <w:rPr/>
            </w:pPr>
            <w:r>
              <w:rPr>
                <w:rFonts w:eastAsia="Arial" w:cs="Arial"/>
                <w:color w:val="1A1A1A"/>
                <w:sz w:val="22"/>
                <w:szCs w:val="22"/>
              </w:rPr>
              <w:t>1.0</w:t>
            </w:r>
          </w:p>
        </w:tc>
      </w:tr>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TITLE</w:t>
            </w:r>
          </w:p>
          <w:p>
            <w:pPr>
              <w:pStyle w:val="Normal"/>
              <w:spacing w:before="0" w:after="0"/>
              <w:rPr/>
            </w:pPr>
            <w:r>
              <w:rPr>
                <w:rFonts w:eastAsia="Arial" w:cs="Arial"/>
                <w:color w:val="1A1A1A"/>
                <w:sz w:val="22"/>
                <w:szCs w:val="22"/>
              </w:rPr>
              <w:t>AI Incident Register</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STATUS</w:t>
            </w:r>
          </w:p>
          <w:p>
            <w:pPr>
              <w:pStyle w:val="Normal"/>
              <w:spacing w:before="0" w:after="0"/>
              <w:rPr/>
            </w:pPr>
            <w:r>
              <w:rPr>
                <w:rFonts w:eastAsia="Arial" w:cs="Arial"/>
                <w:color w:val="1A1A1A"/>
                <w:sz w:val="22"/>
                <w:szCs w:val="22"/>
              </w:rPr>
              <w:t>Approved</w:t>
            </w:r>
          </w:p>
        </w:tc>
      </w:tr>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OWNER</w:t>
            </w:r>
          </w:p>
          <w:p>
            <w:pPr>
              <w:pStyle w:val="Normal"/>
              <w:spacing w:before="0" w:after="0"/>
              <w:rPr/>
            </w:pPr>
            <w:r>
              <w:rPr>
                <w:rFonts w:eastAsia="Arial" w:cs="Arial"/>
                <w:color w:val="1A1A1A"/>
                <w:sz w:val="22"/>
                <w:szCs w:val="22"/>
              </w:rPr>
              <w:t>AI Governance Lead</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APPROVER</w:t>
            </w:r>
          </w:p>
          <w:p>
            <w:pPr>
              <w:pStyle w:val="Normal"/>
              <w:spacing w:before="0" w:after="0"/>
              <w:rPr/>
            </w:pPr>
            <w:r>
              <w:rPr>
                <w:rFonts w:eastAsia="Arial" w:cs="Arial"/>
                <w:color w:val="1A1A1A"/>
                <w:sz w:val="22"/>
                <w:szCs w:val="22"/>
              </w:rPr>
              <w:t>Chief Executive Officer</w:t>
            </w:r>
          </w:p>
        </w:tc>
      </w:tr>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ISSUE DATE</w:t>
            </w:r>
          </w:p>
          <w:p>
            <w:pPr>
              <w:pStyle w:val="Normal"/>
              <w:spacing w:before="0" w:after="0"/>
              <w:rPr/>
            </w:pPr>
            <w:r>
              <w:rPr>
                <w:rFonts w:eastAsia="Arial" w:cs="Arial"/>
                <w:color w:val="1A1A1A"/>
                <w:sz w:val="22"/>
                <w:szCs w:val="22"/>
              </w:rPr>
              <w:t>April 2026</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EFFECTIVE FROM</w:t>
            </w:r>
          </w:p>
          <w:p>
            <w:pPr>
              <w:pStyle w:val="Normal"/>
              <w:spacing w:before="0" w:after="0"/>
              <w:rPr/>
            </w:pPr>
            <w:r>
              <w:rPr>
                <w:rFonts w:eastAsia="Arial" w:cs="Arial"/>
                <w:color w:val="1A1A1A"/>
                <w:sz w:val="22"/>
                <w:szCs w:val="22"/>
              </w:rPr>
              <w:t>April 2026</w:t>
            </w:r>
          </w:p>
        </w:tc>
      </w:tr>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NEXT REVIEW</w:t>
            </w:r>
          </w:p>
          <w:p>
            <w:pPr>
              <w:pStyle w:val="Normal"/>
              <w:spacing w:before="0" w:after="0"/>
              <w:rPr/>
            </w:pPr>
            <w:r>
              <w:rPr>
                <w:rFonts w:eastAsia="Arial" w:cs="Arial"/>
                <w:color w:val="1A1A1A"/>
                <w:sz w:val="22"/>
                <w:szCs w:val="22"/>
              </w:rPr>
              <w:t>April 2027</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REVIEW CYCLE</w:t>
            </w:r>
          </w:p>
          <w:p>
            <w:pPr>
              <w:pStyle w:val="Normal"/>
              <w:spacing w:before="0" w:after="0"/>
              <w:rPr/>
            </w:pPr>
            <w:r>
              <w:rPr>
                <w:rFonts w:eastAsia="Arial" w:cs="Arial"/>
                <w:color w:val="1A1A1A"/>
                <w:sz w:val="22"/>
                <w:szCs w:val="22"/>
              </w:rPr>
              <w:t>Annual or on material change</w:t>
            </w:r>
          </w:p>
        </w:tc>
      </w:tr>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CLASSIFICATION</w:t>
            </w:r>
          </w:p>
          <w:p>
            <w:pPr>
              <w:pStyle w:val="Normal"/>
              <w:spacing w:before="0" w:after="0"/>
              <w:rPr/>
            </w:pPr>
            <w:r>
              <w:rPr>
                <w:rFonts w:eastAsia="Arial" w:cs="Arial"/>
                <w:color w:val="1A1A1A"/>
                <w:sz w:val="22"/>
                <w:szCs w:val="22"/>
              </w:rPr>
              <w:t>Internal</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DISTRIBUTION</w:t>
            </w:r>
          </w:p>
          <w:p>
            <w:pPr>
              <w:pStyle w:val="Normal"/>
              <w:spacing w:before="0" w:after="0"/>
              <w:rPr/>
            </w:pPr>
            <w:r>
              <w:rPr>
                <w:rFonts w:eastAsia="Arial" w:cs="Arial"/>
                <w:color w:val="1A1A1A"/>
                <w:sz w:val="22"/>
                <w:szCs w:val="22"/>
              </w:rPr>
              <w:t>All personnel; third parties on request</w:t>
            </w:r>
          </w:p>
        </w:tc>
      </w:tr>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AIMS SoA REFERENCE</w:t>
            </w:r>
          </w:p>
          <w:p>
            <w:pPr>
              <w:pStyle w:val="Normal"/>
              <w:spacing w:before="0" w:after="0"/>
              <w:rPr/>
            </w:pPr>
            <w:r>
              <w:rPr>
                <w:rFonts w:eastAsia="Arial" w:cs="Arial"/>
                <w:color w:val="1A1A1A"/>
                <w:sz w:val="22"/>
                <w:szCs w:val="22"/>
              </w:rPr>
              <w:t>AIMS-SOA-001 v1.0</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AIMS MAP</w:t>
            </w:r>
          </w:p>
          <w:p>
            <w:pPr>
              <w:pStyle w:val="Normal"/>
              <w:spacing w:before="0" w:after="0"/>
              <w:rPr/>
            </w:pPr>
            <w:r>
              <w:rPr>
                <w:rFonts w:eastAsia="Arial" w:cs="Arial"/>
                <w:color w:val="1A1A1A"/>
                <w:sz w:val="22"/>
                <w:szCs w:val="22"/>
              </w:rPr>
              <w:t>AIMS-MAP-001 v1.0</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Contents</w:t>
      </w:r>
    </w:p>
    <w:p>
      <w:pPr>
        <w:pStyle w:val="Normal"/>
        <w:pBdr>
          <w:bottom w:val="single" w:sz="12" w:space="1" w:color="0000FF"/>
        </w:pBdr>
        <w:spacing w:before="0" w:after="200"/>
        <w:rPr/>
      </w:pPr>
      <w:r>
        <w:rPr/>
      </w:r>
    </w:p>
    <w:p>
      <w:pPr>
        <w:pStyle w:val="Normal"/>
        <w:spacing w:before="40" w:after="40"/>
        <w:rPr/>
      </w:pPr>
      <w:r>
        <w:rPr>
          <w:rFonts w:eastAsia="Arial" w:cs="Arial"/>
          <w:color w:val="1A1A1A"/>
          <w:sz w:val="22"/>
          <w:szCs w:val="22"/>
        </w:rPr>
        <w:t>1. Purpose</w:t>
      </w:r>
    </w:p>
    <w:p>
      <w:pPr>
        <w:pStyle w:val="Normal"/>
        <w:spacing w:before="40" w:after="40"/>
        <w:rPr/>
      </w:pPr>
      <w:r>
        <w:rPr>
          <w:rFonts w:eastAsia="Arial" w:cs="Arial"/>
          <w:color w:val="1A1A1A"/>
          <w:sz w:val="22"/>
          <w:szCs w:val="22"/>
        </w:rPr>
        <w:t>2. Scope</w:t>
      </w:r>
    </w:p>
    <w:p>
      <w:pPr>
        <w:pStyle w:val="Normal"/>
        <w:spacing w:before="40" w:after="40"/>
        <w:rPr/>
      </w:pPr>
      <w:r>
        <w:rPr>
          <w:rFonts w:eastAsia="Arial" w:cs="Arial"/>
          <w:color w:val="1A1A1A"/>
          <w:sz w:val="22"/>
          <w:szCs w:val="22"/>
        </w:rPr>
        <w:t>3. Definitions</w:t>
      </w:r>
    </w:p>
    <w:p>
      <w:pPr>
        <w:pStyle w:val="Normal"/>
        <w:spacing w:before="40" w:after="40"/>
        <w:rPr/>
      </w:pPr>
      <w:r>
        <w:rPr>
          <w:rFonts w:eastAsia="Arial" w:cs="Arial"/>
          <w:color w:val="1A1A1A"/>
          <w:sz w:val="22"/>
          <w:szCs w:val="22"/>
        </w:rPr>
        <w:t>4. Roles and Responsibilities</w:t>
      </w:r>
    </w:p>
    <w:p>
      <w:pPr>
        <w:pStyle w:val="Normal"/>
        <w:spacing w:before="40" w:after="40"/>
        <w:rPr/>
      </w:pPr>
      <w:r>
        <w:rPr>
          <w:rFonts w:eastAsia="Arial" w:cs="Arial"/>
          <w:color w:val="1A1A1A"/>
          <w:sz w:val="22"/>
          <w:szCs w:val="22"/>
        </w:rPr>
        <w:t>5. How to Use This Register</w:t>
      </w:r>
    </w:p>
    <w:p>
      <w:pPr>
        <w:pStyle w:val="Normal"/>
        <w:spacing w:before="40" w:after="40"/>
        <w:rPr/>
      </w:pPr>
      <w:r>
        <w:rPr>
          <w:rFonts w:eastAsia="Arial" w:cs="Arial"/>
          <w:color w:val="1A1A1A"/>
          <w:sz w:val="22"/>
          <w:szCs w:val="22"/>
        </w:rPr>
        <w:t>6. Incident Schema</w:t>
      </w:r>
    </w:p>
    <w:p>
      <w:pPr>
        <w:pStyle w:val="Normal"/>
        <w:spacing w:before="40" w:after="40"/>
        <w:rPr/>
      </w:pPr>
      <w:r>
        <w:rPr>
          <w:rFonts w:eastAsia="Arial" w:cs="Arial"/>
          <w:color w:val="1A1A1A"/>
          <w:sz w:val="22"/>
          <w:szCs w:val="22"/>
        </w:rPr>
        <w:t>7. The Register (template)</w:t>
      </w:r>
    </w:p>
    <w:p>
      <w:pPr>
        <w:pStyle w:val="Normal"/>
        <w:spacing w:before="40" w:after="40"/>
        <w:rPr/>
      </w:pPr>
      <w:r>
        <w:rPr>
          <w:rFonts w:eastAsia="Arial" w:cs="Arial"/>
          <w:color w:val="1A1A1A"/>
          <w:sz w:val="22"/>
          <w:szCs w:val="22"/>
        </w:rPr>
        <w:t>8. Coordination with Other Registers</w:t>
      </w:r>
    </w:p>
    <w:p>
      <w:pPr>
        <w:pStyle w:val="Normal"/>
        <w:spacing w:before="40" w:after="40"/>
        <w:rPr/>
      </w:pPr>
      <w:r>
        <w:rPr>
          <w:rFonts w:eastAsia="Arial" w:cs="Arial"/>
          <w:color w:val="1A1A1A"/>
          <w:sz w:val="22"/>
          <w:szCs w:val="22"/>
        </w:rPr>
        <w:t>9. Reporting</w:t>
      </w:r>
    </w:p>
    <w:p>
      <w:pPr>
        <w:pStyle w:val="Normal"/>
        <w:spacing w:before="40" w:after="40"/>
        <w:rPr/>
      </w:pPr>
      <w:r>
        <w:rPr>
          <w:rFonts w:eastAsia="Arial" w:cs="Arial"/>
          <w:color w:val="1A1A1A"/>
          <w:sz w:val="22"/>
          <w:szCs w:val="22"/>
        </w:rPr>
        <w:t>10. Maintenance</w:t>
      </w:r>
    </w:p>
    <w:p>
      <w:pPr>
        <w:pStyle w:val="Normal"/>
        <w:spacing w:before="40" w:after="40"/>
        <w:rPr/>
      </w:pPr>
      <w:r>
        <w:rPr>
          <w:rFonts w:eastAsia="Arial" w:cs="Arial"/>
          <w:color w:val="1A1A1A"/>
          <w:sz w:val="22"/>
          <w:szCs w:val="22"/>
        </w:rPr>
        <w:t>Annex — Version History</w:t>
      </w:r>
    </w:p>
    <w:p>
      <w:pPr>
        <w:pStyle w:val="Normal"/>
        <w:rPr/>
      </w:pPr>
      <w:r>
        <w:rPr/>
      </w:r>
      <w:r>
        <w:br w:type="page"/>
      </w:r>
    </w:p>
    <w:p>
      <w:pPr>
        <w:pStyle w:val="Heading1"/>
        <w:spacing w:before="0" w:after="180"/>
        <w:rPr/>
      </w:pPr>
      <w:r>
        <w:rPr>
          <w:rFonts w:eastAsia="Arial" w:cs="Arial" w:ascii="Arial" w:hAnsi="Arial"/>
          <w:b/>
          <w:bCs/>
          <w:color w:val="0000FF"/>
          <w:sz w:val="36"/>
          <w:szCs w:val="36"/>
        </w:rPr>
        <w:t>1. Purpose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Register holds the record of every AI incident handled under AI-PLAN-IRP-001 and AI-PRO-004. It is the audit trail of AI incident handling and the input to lessons-learned and continual improvement.</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ISO 42001 reference: A.6.2.6 AI system operation and monitoring; A.8.4 Communication of incidents; Cl. 10.1 Continual improvement</w:t>
      </w:r>
    </w:p>
    <w:p>
      <w:pPr>
        <w:pStyle w:val="Heading1"/>
        <w:spacing w:before="360" w:after="180"/>
        <w:rPr/>
      </w:pPr>
      <w:r>
        <w:rPr>
          <w:rFonts w:eastAsia="Arial" w:cs="Arial" w:ascii="Arial" w:hAnsi="Arial"/>
          <w:b/>
          <w:bCs/>
          <w:color w:val="0000FF"/>
          <w:sz w:val="36"/>
          <w:szCs w:val="36"/>
        </w:rPr>
        <w:t>2. Scope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Register covers AI incidents (including near-misses and weaknesses material enough to record) affecting any AI system within the AIMS scope.</w:t>
      </w:r>
    </w:p>
    <w:p>
      <w:pPr>
        <w:pStyle w:val="Heading1"/>
        <w:spacing w:before="360" w:after="180"/>
        <w:rPr/>
      </w:pPr>
      <w:r>
        <w:rPr>
          <w:rFonts w:eastAsia="Arial" w:cs="Arial" w:ascii="Arial" w:hAnsi="Arial"/>
          <w:b/>
          <w:bCs/>
          <w:color w:val="0000FF"/>
          <w:sz w:val="36"/>
          <w:szCs w:val="36"/>
        </w:rPr>
        <w:t>3. Definitions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Definitions are per AI-PLAN-IRP-001 §3.</w:t>
      </w:r>
    </w:p>
    <w:p>
      <w:pPr>
        <w:pStyle w:val="Heading1"/>
        <w:spacing w:before="360" w:after="180"/>
        <w:rPr/>
      </w:pPr>
      <w:r>
        <w:rPr>
          <w:rFonts w:eastAsia="Arial" w:cs="Arial" w:ascii="Arial" w:hAnsi="Arial"/>
          <w:b/>
          <w:bCs/>
          <w:color w:val="0000FF"/>
          <w:sz w:val="36"/>
          <w:szCs w:val="36"/>
        </w:rPr>
        <w:t>4. Roles and Responsibilities</w:t>
      </w:r>
    </w:p>
    <w:p>
      <w:pPr>
        <w:pStyle w:val="Normal"/>
        <w:pBdr>
          <w:bottom w:val="single" w:sz="12" w:space="1" w:color="0000FF"/>
        </w:pBdr>
        <w:spacing w:before="0" w:after="200"/>
        <w:rPr/>
      </w:pPr>
      <w:r>
        <w:rPr/>
      </w:r>
    </w:p>
    <w:p>
      <w:pPr>
        <w:pStyle w:val="ListParagraph"/>
        <w:numPr>
          <w:ilvl w:val="0"/>
          <w:numId w:val="3"/>
        </w:numPr>
        <w:spacing w:lineRule="exact" w:line="280" w:before="40" w:after="40"/>
        <w:rPr/>
      </w:pPr>
      <w:r>
        <w:rPr>
          <w:rFonts w:eastAsia="Arial" w:cs="Arial"/>
          <w:color w:val="1A1A1A"/>
          <w:sz w:val="22"/>
          <w:szCs w:val="22"/>
        </w:rPr>
        <w:t>AI Governance Lead (AI Incident Manager): owns this Register; ensures completeness.</w:t>
      </w:r>
    </w:p>
    <w:p>
      <w:pPr>
        <w:pStyle w:val="ListParagraph"/>
        <w:numPr>
          <w:ilvl w:val="0"/>
          <w:numId w:val="1"/>
        </w:numPr>
        <w:spacing w:lineRule="exact" w:line="280" w:before="40" w:after="40"/>
        <w:rPr/>
      </w:pPr>
      <w:r>
        <w:rPr>
          <w:rFonts w:eastAsia="Arial" w:cs="Arial"/>
          <w:color w:val="1A1A1A"/>
          <w:sz w:val="22"/>
          <w:szCs w:val="22"/>
        </w:rPr>
        <w:t>AI Builders / on-call: contribute incident detail at the time of handling.</w:t>
      </w:r>
    </w:p>
    <w:p>
      <w:pPr>
        <w:pStyle w:val="ListParagraph"/>
        <w:numPr>
          <w:ilvl w:val="0"/>
          <w:numId w:val="1"/>
        </w:numPr>
        <w:spacing w:lineRule="exact" w:line="280" w:before="40" w:after="40"/>
        <w:rPr/>
      </w:pPr>
      <w:r>
        <w:rPr>
          <w:rFonts w:eastAsia="Arial" w:cs="Arial"/>
          <w:color w:val="1A1A1A"/>
          <w:sz w:val="22"/>
          <w:szCs w:val="22"/>
        </w:rPr>
        <w:t>Privacy Lead: contributes detail on personal-data-related incidents.</w:t>
      </w:r>
    </w:p>
    <w:p>
      <w:pPr>
        <w:pStyle w:val="ListParagraph"/>
        <w:numPr>
          <w:ilvl w:val="0"/>
          <w:numId w:val="1"/>
        </w:numPr>
        <w:spacing w:lineRule="exact" w:line="280" w:before="40" w:after="40"/>
        <w:rPr/>
      </w:pPr>
      <w:r>
        <w:rPr>
          <w:rFonts w:eastAsia="Arial" w:cs="Arial"/>
          <w:color w:val="1A1A1A"/>
          <w:sz w:val="22"/>
          <w:szCs w:val="22"/>
        </w:rPr>
        <w:t>Internal auditor: samples this Register at audit.</w:t>
      </w:r>
    </w:p>
    <w:p>
      <w:pPr>
        <w:pStyle w:val="Heading1"/>
        <w:spacing w:before="360" w:after="180"/>
        <w:rPr/>
      </w:pPr>
      <w:r>
        <w:rPr>
          <w:rFonts w:eastAsia="Arial" w:cs="Arial" w:ascii="Arial" w:hAnsi="Arial"/>
          <w:b/>
          <w:bCs/>
          <w:color w:val="0000FF"/>
          <w:sz w:val="36"/>
          <w:szCs w:val="36"/>
        </w:rPr>
        <w:t>5. How to Use This Register</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Each incident has a unique identifier (AI-INC-NNN).</w:t>
      </w:r>
    </w:p>
    <w:p>
      <w:pPr>
        <w:pStyle w:val="ListParagraph"/>
        <w:numPr>
          <w:ilvl w:val="0"/>
          <w:numId w:val="1"/>
        </w:numPr>
        <w:spacing w:lineRule="exact" w:line="280" w:before="40" w:after="40"/>
        <w:rPr/>
      </w:pPr>
      <w:r>
        <w:rPr>
          <w:rFonts w:eastAsia="Arial" w:cs="Arial"/>
          <w:color w:val="1A1A1A"/>
          <w:sz w:val="22"/>
          <w:szCs w:val="22"/>
        </w:rPr>
        <w:t>Records are opened at triage (Stage 2 of AI-PRO-004) and updated through the lifecycle.</w:t>
      </w:r>
    </w:p>
    <w:p>
      <w:pPr>
        <w:pStyle w:val="ListParagraph"/>
        <w:numPr>
          <w:ilvl w:val="0"/>
          <w:numId w:val="1"/>
        </w:numPr>
        <w:spacing w:lineRule="exact" w:line="280" w:before="40" w:after="40"/>
        <w:rPr/>
      </w:pPr>
      <w:r>
        <w:rPr>
          <w:rFonts w:eastAsia="Arial" w:cs="Arial"/>
          <w:color w:val="1A1A1A"/>
          <w:sz w:val="22"/>
          <w:szCs w:val="22"/>
        </w:rPr>
        <w:t>The closed record holds the full audit trail of the incident.</w:t>
      </w:r>
    </w:p>
    <w:p>
      <w:pPr>
        <w:pStyle w:val="ListParagraph"/>
        <w:numPr>
          <w:ilvl w:val="0"/>
          <w:numId w:val="1"/>
        </w:numPr>
        <w:spacing w:lineRule="exact" w:line="280" w:before="40" w:after="40"/>
        <w:rPr/>
      </w:pPr>
      <w:r>
        <w:rPr>
          <w:rFonts w:eastAsia="Arial" w:cs="Arial"/>
          <w:color w:val="1A1A1A"/>
          <w:sz w:val="22"/>
          <w:szCs w:val="22"/>
        </w:rPr>
        <w:t>Where the incident is also a security incident or personal data breach, cross-references to PLAN-IRP-001 records and PRO-024 records are maintained.</w:t>
      </w:r>
    </w:p>
    <w:p>
      <w:pPr>
        <w:pStyle w:val="ListParagraph"/>
        <w:numPr>
          <w:ilvl w:val="0"/>
          <w:numId w:val="1"/>
        </w:numPr>
        <w:spacing w:lineRule="exact" w:line="280" w:before="40" w:after="40"/>
        <w:rPr/>
      </w:pPr>
      <w:r>
        <w:rPr>
          <w:rFonts w:eastAsia="Arial" w:cs="Arial"/>
          <w:color w:val="1A1A1A"/>
          <w:sz w:val="22"/>
          <w:szCs w:val="22"/>
        </w:rPr>
        <w:t>This document holds the schema and a starter template; live incidents are recorded in the operational incident management system.</w:t>
      </w:r>
    </w:p>
    <w:p>
      <w:pPr>
        <w:pStyle w:val="Heading1"/>
        <w:spacing w:before="360" w:after="180"/>
        <w:rPr/>
      </w:pPr>
      <w:r>
        <w:rPr>
          <w:rFonts w:eastAsia="Arial" w:cs="Arial" w:ascii="Arial" w:hAnsi="Arial"/>
          <w:b/>
          <w:bCs/>
          <w:color w:val="0000FF"/>
          <w:sz w:val="36"/>
          <w:szCs w:val="36"/>
        </w:rPr>
        <w:t>6. Incident Schema</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Each incident record contains:</w:t>
      </w:r>
    </w:p>
    <w:p>
      <w:pPr>
        <w:pStyle w:val="ListParagraph"/>
        <w:numPr>
          <w:ilvl w:val="0"/>
          <w:numId w:val="1"/>
        </w:numPr>
        <w:spacing w:lineRule="exact" w:line="280" w:before="40" w:after="40"/>
        <w:rPr/>
      </w:pPr>
      <w:r>
        <w:rPr>
          <w:rFonts w:eastAsia="Arial" w:cs="Arial"/>
          <w:color w:val="1A1A1A"/>
          <w:sz w:val="22"/>
          <w:szCs w:val="22"/>
        </w:rPr>
        <w:t>Identifier (AI-INC-NNN).</w:t>
      </w:r>
    </w:p>
    <w:p>
      <w:pPr>
        <w:pStyle w:val="ListParagraph"/>
        <w:numPr>
          <w:ilvl w:val="0"/>
          <w:numId w:val="1"/>
        </w:numPr>
        <w:spacing w:lineRule="exact" w:line="280" w:before="40" w:after="40"/>
        <w:rPr/>
      </w:pPr>
      <w:r>
        <w:rPr>
          <w:rFonts w:eastAsia="Arial" w:cs="Arial"/>
          <w:color w:val="1A1A1A"/>
          <w:sz w:val="22"/>
          <w:szCs w:val="22"/>
        </w:rPr>
        <w:t>Date of detection; date of triage; date of stand-down; date of closure.</w:t>
      </w:r>
    </w:p>
    <w:p>
      <w:pPr>
        <w:pStyle w:val="ListParagraph"/>
        <w:numPr>
          <w:ilvl w:val="0"/>
          <w:numId w:val="1"/>
        </w:numPr>
        <w:spacing w:lineRule="exact" w:line="280" w:before="40" w:after="40"/>
        <w:rPr/>
      </w:pPr>
      <w:r>
        <w:rPr>
          <w:rFonts w:eastAsia="Arial" w:cs="Arial"/>
          <w:color w:val="1A1A1A"/>
          <w:sz w:val="22"/>
          <w:szCs w:val="22"/>
        </w:rPr>
        <w:t>AI system(s) affected (cross-reference to AI-REG-INV-001).</w:t>
      </w:r>
    </w:p>
    <w:p>
      <w:pPr>
        <w:pStyle w:val="ListParagraph"/>
        <w:numPr>
          <w:ilvl w:val="0"/>
          <w:numId w:val="1"/>
        </w:numPr>
        <w:spacing w:lineRule="exact" w:line="280" w:before="40" w:after="40"/>
        <w:rPr/>
      </w:pPr>
      <w:r>
        <w:rPr>
          <w:rFonts w:eastAsia="Arial" w:cs="Arial"/>
          <w:color w:val="1A1A1A"/>
          <w:sz w:val="22"/>
          <w:szCs w:val="22"/>
        </w:rPr>
        <w:t>Category (per AI-PLAN-IRP-001 §4).</w:t>
      </w:r>
    </w:p>
    <w:p>
      <w:pPr>
        <w:pStyle w:val="ListParagraph"/>
        <w:numPr>
          <w:ilvl w:val="0"/>
          <w:numId w:val="1"/>
        </w:numPr>
        <w:spacing w:lineRule="exact" w:line="280" w:before="40" w:after="40"/>
        <w:rPr/>
      </w:pPr>
      <w:r>
        <w:rPr>
          <w:rFonts w:eastAsia="Arial" w:cs="Arial"/>
          <w:color w:val="1A1A1A"/>
          <w:sz w:val="22"/>
          <w:szCs w:val="22"/>
        </w:rPr>
        <w:t>Severity (Critical / Major / Moderate / Minor).</w:t>
      </w:r>
    </w:p>
    <w:p>
      <w:pPr>
        <w:pStyle w:val="ListParagraph"/>
        <w:numPr>
          <w:ilvl w:val="0"/>
          <w:numId w:val="1"/>
        </w:numPr>
        <w:spacing w:lineRule="exact" w:line="280" w:before="40" w:after="40"/>
        <w:rPr/>
      </w:pPr>
      <w:r>
        <w:rPr>
          <w:rFonts w:eastAsia="Arial" w:cs="Arial"/>
          <w:color w:val="1A1A1A"/>
          <w:sz w:val="22"/>
          <w:szCs w:val="22"/>
        </w:rPr>
        <w:t>Description of the incident.</w:t>
      </w:r>
    </w:p>
    <w:p>
      <w:pPr>
        <w:pStyle w:val="ListParagraph"/>
        <w:numPr>
          <w:ilvl w:val="0"/>
          <w:numId w:val="1"/>
        </w:numPr>
        <w:spacing w:lineRule="exact" w:line="280" w:before="40" w:after="40"/>
        <w:rPr/>
      </w:pPr>
      <w:r>
        <w:rPr>
          <w:rFonts w:eastAsia="Arial" w:cs="Arial"/>
          <w:color w:val="1A1A1A"/>
          <w:sz w:val="22"/>
          <w:szCs w:val="22"/>
        </w:rPr>
        <w:t>Root cause (post-investigation).</w:t>
      </w:r>
    </w:p>
    <w:p>
      <w:pPr>
        <w:pStyle w:val="ListParagraph"/>
        <w:numPr>
          <w:ilvl w:val="0"/>
          <w:numId w:val="1"/>
        </w:numPr>
        <w:spacing w:lineRule="exact" w:line="280" w:before="40" w:after="40"/>
        <w:rPr/>
      </w:pPr>
      <w:r>
        <w:rPr>
          <w:rFonts w:eastAsia="Arial" w:cs="Arial"/>
          <w:color w:val="1A1A1A"/>
          <w:sz w:val="22"/>
          <w:szCs w:val="22"/>
        </w:rPr>
        <w:t>Actions taken (containment, eradication, recovery).</w:t>
      </w:r>
    </w:p>
    <w:p>
      <w:pPr>
        <w:pStyle w:val="ListParagraph"/>
        <w:numPr>
          <w:ilvl w:val="0"/>
          <w:numId w:val="1"/>
        </w:numPr>
        <w:spacing w:lineRule="exact" w:line="280" w:before="40" w:after="40"/>
        <w:rPr/>
      </w:pPr>
      <w:r>
        <w:rPr>
          <w:rFonts w:eastAsia="Arial" w:cs="Arial"/>
          <w:color w:val="1A1A1A"/>
          <w:sz w:val="22"/>
          <w:szCs w:val="22"/>
        </w:rPr>
        <w:t>Communication (internal, customer, regulator).</w:t>
      </w:r>
    </w:p>
    <w:p>
      <w:pPr>
        <w:pStyle w:val="ListParagraph"/>
        <w:numPr>
          <w:ilvl w:val="0"/>
          <w:numId w:val="1"/>
        </w:numPr>
        <w:spacing w:lineRule="exact" w:line="280" w:before="40" w:after="40"/>
        <w:rPr/>
      </w:pPr>
      <w:r>
        <w:rPr>
          <w:rFonts w:eastAsia="Arial" w:cs="Arial"/>
          <w:color w:val="1A1A1A"/>
          <w:sz w:val="22"/>
          <w:szCs w:val="22"/>
        </w:rPr>
        <w:t>Lessons learned summary.</w:t>
      </w:r>
    </w:p>
    <w:p>
      <w:pPr>
        <w:pStyle w:val="ListParagraph"/>
        <w:numPr>
          <w:ilvl w:val="0"/>
          <w:numId w:val="1"/>
        </w:numPr>
        <w:spacing w:lineRule="exact" w:line="280" w:before="40" w:after="40"/>
        <w:rPr/>
      </w:pPr>
      <w:r>
        <w:rPr>
          <w:rFonts w:eastAsia="Arial" w:cs="Arial"/>
          <w:color w:val="1A1A1A"/>
          <w:sz w:val="22"/>
          <w:szCs w:val="22"/>
        </w:rPr>
        <w:t>Actions arising (cross-reference to REG-CAR-001).</w:t>
      </w:r>
    </w:p>
    <w:p>
      <w:pPr>
        <w:pStyle w:val="ListParagraph"/>
        <w:numPr>
          <w:ilvl w:val="0"/>
          <w:numId w:val="1"/>
        </w:numPr>
        <w:spacing w:lineRule="exact" w:line="280" w:before="40" w:after="40"/>
        <w:rPr/>
      </w:pPr>
      <w:r>
        <w:rPr>
          <w:rFonts w:eastAsia="Arial" w:cs="Arial"/>
          <w:color w:val="1A1A1A"/>
          <w:sz w:val="22"/>
          <w:szCs w:val="22"/>
        </w:rPr>
        <w:t>Cross-references (PLAN-IRP-001 record, PRO-024 record, AI-REG-RISK-001 entries, AISIA refresh).</w:t>
      </w:r>
    </w:p>
    <w:p>
      <w:pPr>
        <w:pStyle w:val="ListParagraph"/>
        <w:numPr>
          <w:ilvl w:val="0"/>
          <w:numId w:val="1"/>
        </w:numPr>
        <w:spacing w:lineRule="exact" w:line="280" w:before="40" w:after="40"/>
        <w:rPr/>
      </w:pPr>
      <w:r>
        <w:rPr>
          <w:rFonts w:eastAsia="Arial" w:cs="Arial"/>
          <w:color w:val="1A1A1A"/>
          <w:sz w:val="22"/>
          <w:szCs w:val="22"/>
        </w:rPr>
        <w:t>Status (Open / Contained / Investigating / Recovered / Closed).</w:t>
      </w:r>
    </w:p>
    <w:p>
      <w:pPr>
        <w:pStyle w:val="Heading1"/>
        <w:spacing w:before="360" w:after="180"/>
        <w:rPr/>
      </w:pPr>
      <w:r>
        <w:rPr>
          <w:rFonts w:eastAsia="Arial" w:cs="Arial" w:ascii="Arial" w:hAnsi="Arial"/>
          <w:b/>
          <w:bCs/>
          <w:color w:val="0000FF"/>
          <w:sz w:val="36"/>
          <w:szCs w:val="36"/>
        </w:rPr>
        <w:t>7. The Register (template)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Cloudax has not yet had an AI incident at this issue. The schema is established and the operational incident management system is configured to capture the schema. The first incident will populate the Register with a real entry.</w:t>
      </w:r>
    </w:p>
    <w:p>
      <w:pPr>
        <w:pStyle w:val="Normal"/>
        <w:spacing w:before="60" w:after="60"/>
        <w:rPr/>
      </w:pPr>
      <w:r>
        <w:rPr/>
      </w:r>
    </w:p>
    <w:tbl>
      <w:tblPr>
        <w:tblW w:w="14900" w:type="dxa"/>
        <w:jc w:val="start"/>
        <w:tblInd w:w="0" w:type="dxa"/>
        <w:tblLayout w:type="fixed"/>
        <w:tblCellMar>
          <w:top w:w="80" w:type="dxa"/>
          <w:start w:w="120" w:type="dxa"/>
          <w:bottom w:w="80" w:type="dxa"/>
          <w:end w:w="120" w:type="dxa"/>
        </w:tblCellMar>
      </w:tblPr>
      <w:tblGrid>
        <w:gridCol w:w="1099"/>
        <w:gridCol w:w="1101"/>
        <w:gridCol w:w="1100"/>
        <w:gridCol w:w="2299"/>
        <w:gridCol w:w="800"/>
        <w:gridCol w:w="2301"/>
        <w:gridCol w:w="2300"/>
        <w:gridCol w:w="1100"/>
        <w:gridCol w:w="1700"/>
        <w:gridCol w:w="1098"/>
      </w:tblGrid>
      <w:tr>
        <w:trPr>
          <w:tblHeader w:val="true"/>
        </w:trPr>
        <w:tc>
          <w:tcPr>
            <w:tcW w:w="10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ID</w:t>
            </w:r>
          </w:p>
        </w:tc>
        <w:tc>
          <w:tcPr>
            <w:tcW w:w="11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DETECTED</w:t>
            </w:r>
          </w:p>
        </w:tc>
        <w:tc>
          <w:tcPr>
            <w:tcW w:w="11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AI SYS</w:t>
            </w:r>
          </w:p>
        </w:tc>
        <w:tc>
          <w:tcPr>
            <w:tcW w:w="2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CATEGORY</w:t>
            </w:r>
          </w:p>
        </w:tc>
        <w:tc>
          <w:tcPr>
            <w:tcW w:w="8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SEV</w:t>
            </w:r>
          </w:p>
        </w:tc>
        <w:tc>
          <w:tcPr>
            <w:tcW w:w="23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DESCRIPTION</w:t>
            </w:r>
          </w:p>
        </w:tc>
        <w:tc>
          <w:tcPr>
            <w:tcW w:w="23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ROOT CAUSE</w:t>
            </w:r>
          </w:p>
        </w:tc>
        <w:tc>
          <w:tcPr>
            <w:tcW w:w="11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STAND-DOWN</w:t>
            </w:r>
          </w:p>
        </w:tc>
        <w:tc>
          <w:tcPr>
            <w:tcW w:w="17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ACTIONS</w:t>
            </w:r>
          </w:p>
        </w:tc>
        <w:tc>
          <w:tcPr>
            <w:tcW w:w="1098"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STATUS</w:t>
            </w:r>
          </w:p>
        </w:tc>
      </w:tr>
      <w:tr>
        <w:trPr/>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[AI-INC-001]</w:t>
            </w:r>
          </w:p>
        </w:tc>
        <w:tc>
          <w:tcPr>
            <w:tcW w:w="11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[date]</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[AI-SYS-NNN]</w:t>
            </w:r>
          </w:p>
        </w:tc>
        <w:tc>
          <w:tcPr>
            <w:tcW w:w="2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[per AI-PLAN-IRP-001 §4]</w:t>
            </w:r>
          </w:p>
        </w:tc>
        <w:tc>
          <w:tcPr>
            <w:tcW w:w="8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[Critical/Major/Moderate/Minor]</w:t>
            </w:r>
          </w:p>
        </w:tc>
        <w:tc>
          <w:tcPr>
            <w:tcW w:w="23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[Brief description]</w:t>
            </w:r>
          </w:p>
        </w:tc>
        <w:tc>
          <w:tcPr>
            <w:tcW w:w="23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[Post-investigation root cause]</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[date]</w:t>
            </w:r>
          </w:p>
        </w:tc>
        <w:tc>
          <w:tcPr>
            <w:tcW w:w="1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[Cross-ref to REG-CAR-001 entries]</w:t>
            </w:r>
          </w:p>
        </w:tc>
        <w:tc>
          <w:tcPr>
            <w:tcW w:w="1098"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[Open/Contained/.../Closed]</w:t>
            </w:r>
          </w:p>
        </w:tc>
      </w:tr>
      <w:tr>
        <w:trPr/>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[next]</w:t>
            </w:r>
          </w:p>
        </w:tc>
        <w:tc>
          <w:tcPr>
            <w:tcW w:w="11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
          </w:p>
        </w:tc>
        <w:tc>
          <w:tcPr>
            <w:tcW w:w="22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
          </w:p>
        </w:tc>
        <w:tc>
          <w:tcPr>
            <w:tcW w:w="8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
          </w:p>
        </w:tc>
        <w:tc>
          <w:tcPr>
            <w:tcW w:w="23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
          </w:p>
        </w:tc>
        <w:tc>
          <w:tcPr>
            <w:tcW w:w="23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
          </w:p>
        </w:tc>
        <w:tc>
          <w:tcPr>
            <w:tcW w:w="1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
          </w:p>
        </w:tc>
        <w:tc>
          <w:tcPr>
            <w:tcW w:w="1098"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
          </w:p>
        </w:tc>
      </w:tr>
    </w:tbl>
    <w:p>
      <w:pPr>
        <w:pStyle w:val="Heading1"/>
        <w:spacing w:before="360" w:after="180"/>
        <w:rPr/>
      </w:pPr>
      <w:r>
        <w:rPr>
          <w:rFonts w:eastAsia="Arial" w:cs="Arial" w:ascii="Arial" w:hAnsi="Arial"/>
          <w:b/>
          <w:bCs/>
          <w:color w:val="0000FF"/>
          <w:sz w:val="36"/>
          <w:szCs w:val="36"/>
        </w:rPr>
        <w:t>8. Coordination with Other Registers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REG-CAR-001 (Corrective Actions): actions arising from incidents are recorded for tracking to closure.</w:t>
      </w:r>
    </w:p>
    <w:p>
      <w:pPr>
        <w:pStyle w:val="ListParagraph"/>
        <w:numPr>
          <w:ilvl w:val="0"/>
          <w:numId w:val="1"/>
        </w:numPr>
        <w:spacing w:lineRule="exact" w:line="280" w:before="40" w:after="40"/>
        <w:rPr/>
      </w:pPr>
      <w:r>
        <w:rPr>
          <w:rFonts w:eastAsia="Arial" w:cs="Arial"/>
          <w:color w:val="1A1A1A"/>
          <w:sz w:val="22"/>
          <w:szCs w:val="22"/>
        </w:rPr>
        <w:t>AI-REG-RISK-001: incidents may trigger updates to risk likelihood / impact ratings.</w:t>
      </w:r>
    </w:p>
    <w:p>
      <w:pPr>
        <w:pStyle w:val="ListParagraph"/>
        <w:numPr>
          <w:ilvl w:val="0"/>
          <w:numId w:val="1"/>
        </w:numPr>
        <w:spacing w:lineRule="exact" w:line="280" w:before="40" w:after="40"/>
        <w:rPr/>
      </w:pPr>
      <w:r>
        <w:rPr>
          <w:rFonts w:eastAsia="Arial" w:cs="Arial"/>
          <w:color w:val="1A1A1A"/>
          <w:sz w:val="22"/>
          <w:szCs w:val="22"/>
        </w:rPr>
        <w:t>AI-REG-AISIA-001: incidents involving inadequately assessed impact trigger AISIA refresh.</w:t>
      </w:r>
    </w:p>
    <w:p>
      <w:pPr>
        <w:pStyle w:val="ListParagraph"/>
        <w:numPr>
          <w:ilvl w:val="0"/>
          <w:numId w:val="1"/>
        </w:numPr>
        <w:spacing w:lineRule="exact" w:line="280" w:before="40" w:after="40"/>
        <w:rPr/>
      </w:pPr>
      <w:r>
        <w:rPr>
          <w:rFonts w:eastAsia="Arial" w:cs="Arial"/>
          <w:color w:val="1A1A1A"/>
          <w:sz w:val="22"/>
          <w:szCs w:val="22"/>
        </w:rPr>
        <w:t>PLAN-IRP-001 records (ISMS): security-dimension incidents reference both registers.</w:t>
      </w:r>
    </w:p>
    <w:p>
      <w:pPr>
        <w:pStyle w:val="ListParagraph"/>
        <w:numPr>
          <w:ilvl w:val="0"/>
          <w:numId w:val="1"/>
        </w:numPr>
        <w:spacing w:lineRule="exact" w:line="280" w:before="40" w:after="40"/>
        <w:rPr/>
      </w:pPr>
      <w:r>
        <w:rPr>
          <w:rFonts w:eastAsia="Arial" w:cs="Arial"/>
          <w:color w:val="1A1A1A"/>
          <w:sz w:val="22"/>
          <w:szCs w:val="22"/>
        </w:rPr>
        <w:t>PRO-024 records: personal-data-related incidents reference both.</w:t>
      </w:r>
    </w:p>
    <w:p>
      <w:pPr>
        <w:pStyle w:val="Heading1"/>
        <w:spacing w:before="360" w:after="180"/>
        <w:rPr/>
      </w:pPr>
      <w:r>
        <w:rPr>
          <w:rFonts w:eastAsia="Arial" w:cs="Arial" w:ascii="Arial" w:hAnsi="Arial"/>
          <w:b/>
          <w:bCs/>
          <w:color w:val="0000FF"/>
          <w:sz w:val="36"/>
          <w:szCs w:val="36"/>
        </w:rPr>
        <w:t>9. Reporting</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AI incident metrics (count, severity distribution, time-to-stand-down) are reported to AIMS management review at least every six months.</w:t>
      </w:r>
    </w:p>
    <w:p>
      <w:pPr>
        <w:pStyle w:val="ListParagraph"/>
        <w:numPr>
          <w:ilvl w:val="0"/>
          <w:numId w:val="1"/>
        </w:numPr>
        <w:spacing w:lineRule="exact" w:line="280" w:before="40" w:after="40"/>
        <w:rPr/>
      </w:pPr>
      <w:r>
        <w:rPr>
          <w:rFonts w:eastAsia="Arial" w:cs="Arial"/>
          <w:color w:val="1A1A1A"/>
          <w:sz w:val="22"/>
          <w:szCs w:val="22"/>
        </w:rPr>
        <w:t>Material incidents are reported promptly to the CEO and to management review out of cycle.</w:t>
      </w:r>
    </w:p>
    <w:p>
      <w:pPr>
        <w:pStyle w:val="ListParagraph"/>
        <w:numPr>
          <w:ilvl w:val="0"/>
          <w:numId w:val="1"/>
        </w:numPr>
        <w:spacing w:lineRule="exact" w:line="280" w:before="40" w:after="40"/>
        <w:rPr/>
      </w:pPr>
      <w:r>
        <w:rPr>
          <w:rFonts w:eastAsia="Arial" w:cs="Arial"/>
          <w:color w:val="1A1A1A"/>
          <w:sz w:val="22"/>
          <w:szCs w:val="22"/>
        </w:rPr>
        <w:t>Trends across categories are reviewed annually for systemic improvement opportunities.</w:t>
      </w:r>
    </w:p>
    <w:p>
      <w:pPr>
        <w:pStyle w:val="Heading1"/>
        <w:spacing w:before="360" w:after="180"/>
        <w:rPr/>
      </w:pPr>
      <w:r>
        <w:rPr>
          <w:rFonts w:eastAsia="Arial" w:cs="Arial" w:ascii="Arial" w:hAnsi="Arial"/>
          <w:b/>
          <w:bCs/>
          <w:color w:val="0000FF"/>
          <w:sz w:val="36"/>
          <w:szCs w:val="36"/>
        </w:rPr>
        <w:t>10. Maintenance</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This Register is updated continuously as incidents arise.</w:t>
      </w:r>
    </w:p>
    <w:p>
      <w:pPr>
        <w:pStyle w:val="ListParagraph"/>
        <w:numPr>
          <w:ilvl w:val="0"/>
          <w:numId w:val="1"/>
        </w:numPr>
        <w:spacing w:lineRule="exact" w:line="280" w:before="40" w:after="40"/>
        <w:rPr/>
      </w:pPr>
      <w:r>
        <w:rPr>
          <w:rFonts w:eastAsia="Arial" w:cs="Arial"/>
          <w:color w:val="1A1A1A"/>
          <w:sz w:val="22"/>
          <w:szCs w:val="22"/>
        </w:rPr>
        <w:t>This document structure is reviewed at least annually and after every Major or Critical incident.</w:t>
      </w:r>
    </w:p>
    <w:p>
      <w:pPr>
        <w:pStyle w:val="Normal"/>
        <w:spacing w:before="60" w:after="60"/>
        <w:rPr/>
      </w:pPr>
      <w:r>
        <w:rPr/>
      </w:r>
    </w:p>
    <w:p>
      <w:pPr>
        <w:pStyle w:val="Heading1"/>
        <w:spacing w:before="360" w:after="180"/>
        <w:rPr/>
      </w:pPr>
      <w:r>
        <w:rPr>
          <w:rFonts w:eastAsia="Arial" w:cs="Arial" w:ascii="Arial" w:hAnsi="Arial"/>
          <w:b/>
          <w:bCs/>
          <w:color w:val="0000FF"/>
          <w:sz w:val="36"/>
          <w:szCs w:val="36"/>
        </w:rPr>
        <w:t>Annex — Version History</w:t>
      </w:r>
    </w:p>
    <w:p>
      <w:pPr>
        <w:pStyle w:val="Normal"/>
        <w:pBdr>
          <w:bottom w:val="single" w:sz="12" w:space="1" w:color="0000FF"/>
        </w:pBdr>
        <w:spacing w:before="0" w:after="200"/>
        <w:rPr/>
      </w:pPr>
      <w:r>
        <w:rPr/>
      </w:r>
    </w:p>
    <w:tbl>
      <w:tblPr>
        <w:tblW w:w="9026" w:type="dxa"/>
        <w:jc w:val="start"/>
        <w:tblInd w:w="0" w:type="dxa"/>
        <w:tblLayout w:type="fixed"/>
        <w:tblCellMar>
          <w:top w:w="120" w:type="dxa"/>
          <w:start w:w="160" w:type="dxa"/>
          <w:bottom w:w="120" w:type="dxa"/>
          <w:end w:w="160" w:type="dxa"/>
        </w:tblCellMar>
      </w:tblPr>
      <w:tblGrid>
        <w:gridCol w:w="1299"/>
        <w:gridCol w:w="1500"/>
        <w:gridCol w:w="2201"/>
        <w:gridCol w:w="4025"/>
      </w:tblGrid>
      <w:tr>
        <w:trPr>
          <w:tblHeader w:val="true"/>
        </w:trPr>
        <w:tc>
          <w:tcPr>
            <w:tcW w:w="1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VERSION</w:t>
            </w:r>
          </w:p>
        </w:tc>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DATE</w:t>
            </w:r>
          </w:p>
        </w:tc>
        <w:tc>
          <w:tcPr>
            <w:tcW w:w="22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AUTHOR</w:t>
            </w:r>
          </w:p>
        </w:tc>
        <w:tc>
          <w:tcPr>
            <w:tcW w:w="40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SUMMARY OF CHANGES</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1.0</w:t>
            </w:r>
          </w:p>
        </w:tc>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April 2026</w:t>
            </w:r>
          </w:p>
        </w:tc>
        <w:tc>
          <w:tcPr>
            <w:tcW w:w="2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AI Governance Lead</w:t>
            </w:r>
          </w:p>
        </w:tc>
        <w:tc>
          <w:tcPr>
            <w:tcW w:w="4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Initial issue with schema. No AI incidents recorded at issue.</w:t>
            </w:r>
          </w:p>
        </w:tc>
      </w:tr>
    </w:tbl>
    <w:sectPr>
      <w:headerReference w:type="even" r:id="rId3"/>
      <w:headerReference w:type="default" r:id="rId4"/>
      <w:headerReference w:type="first" r:id="rId5"/>
      <w:footerReference w:type="even" r:id="rId6"/>
      <w:footerReference w:type="default" r:id="rId7"/>
      <w:footerReference w:type="first" r:id="rId8"/>
      <w:type w:val="nextPage"/>
      <w:pgSz w:orient="landscape" w:w="16838" w:h="11906"/>
      <w:pgMar w:left="1080" w:right="1080" w:gutter="0" w:header="708" w:top="1080" w:footer="708"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7200" w:leader="none"/>
        <w:tab w:val="right" w:pos="14400" w:leader="none"/>
      </w:tabs>
      <w:spacing w:before="0" w:after="0"/>
      <w:rPr/>
    </w:pPr>
    <w:r>
      <w:rPr>
        <w:rFonts w:eastAsia="Arial" w:cs="Arial"/>
        <w:color w:val="1A1A1A"/>
        <w:sz w:val="18"/>
        <w:szCs w:val="18"/>
      </w:rPr>
      <w:t xml:space="preserve">AI-REG-INC-001 AI Incident Register  •  Internal  </w:t>
      <w:tab/>
      <w:t>v1.0  •  April 2026</w:t>
      <w:tab/>
      <w:t xml:space="preserve">Page </w:t>
    </w:r>
    <w:r>
      <w:rPr/>
      <w:fldChar w:fldCharType="begin"/>
    </w:r>
    <w:r>
      <w:rPr/>
      <w:instrText xml:space="preserve"> PAGE </w:instrText>
    </w:r>
    <w:r>
      <w:rPr/>
      <w:fldChar w:fldCharType="separate"/>
    </w:r>
    <w:r>
      <w:rPr/>
      <w:t>7</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7200" w:leader="none"/>
        <w:tab w:val="right" w:pos="14400" w:leader="none"/>
      </w:tabs>
      <w:spacing w:before="0" w:after="0"/>
      <w:rPr/>
    </w:pPr>
    <w:r>
      <w:rPr>
        <w:rFonts w:eastAsia="Arial" w:cs="Arial"/>
        <w:color w:val="1A1A1A"/>
        <w:sz w:val="18"/>
        <w:szCs w:val="18"/>
      </w:rPr>
      <w:t xml:space="preserve">AI-REG-INC-001 AI Incident Register  •  Internal  </w:t>
      <w:tab/>
      <w:t>v1.0  •  April 2026</w:t>
      <w:tab/>
      <w:t xml:space="preserve">Page </w:t>
    </w:r>
    <w:r>
      <w:rPr/>
      <w:fldChar w:fldCharType="begin"/>
    </w:r>
    <w:r>
      <w:rPr/>
      <w:instrText xml:space="preserve"> PAGE </w:instrText>
    </w:r>
    <w:r>
      <w:rPr/>
      <w:fldChar w:fldCharType="separate"/>
    </w:r>
    <w:r>
      <w:rPr/>
      <w:t>7</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60"/>
      </w:pPr>
      <w:rPr>
        <w:rFonts w:ascii="Arial" w:hAnsi="Arial" w:cs="Arial" w:hint="default"/>
        <w:color w:val="0000FF"/>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Heading1">
    <w:name w:val="Heading 1"/>
    <w:basedOn w:val="Heading"/>
    <w:qFormat/>
    <w:pPr>
      <w:spacing w:before="360" w:after="180"/>
      <w:outlineLvl w:val="0"/>
    </w:pPr>
    <w:rPr>
      <w:rFonts w:ascii="Arial" w:hAnsi="Arial" w:eastAsia="Arial" w:cs="Arial"/>
      <w:b/>
      <w:bCs/>
      <w:color w:val="0000FF"/>
      <w:sz w:val="36"/>
      <w:szCs w:val="36"/>
    </w:rPr>
  </w:style>
  <w:style w:type="paragraph" w:styleId="Heading2">
    <w:name w:val="Heading 2"/>
    <w:basedOn w:val="Heading"/>
    <w:qFormat/>
    <w:pPr>
      <w:spacing w:before="280" w:after="140"/>
      <w:outlineLvl w:val="1"/>
    </w:pPr>
    <w:rPr>
      <w:rFonts w:ascii="Arial" w:hAnsi="Arial" w:eastAsia="Arial" w:cs="Arial"/>
      <w:b/>
      <w:bCs/>
      <w:color w:val="0000FF"/>
      <w:sz w:val="28"/>
      <w:szCs w:val="28"/>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A1A1A"/>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a:themeElements>
    <a:clrScheme nam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Microsoft Office Word</Application>
  <AppVersion>16.0000</AppVersion>
  <Company>Cloudax Ltd.</Company>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2026-04-08T15:50:03Z</dcterms:created>
  <dc:creator>David Stokes</dc:creator>
  <dc:description/>
  <dc:language>en-US</dc:language>
  <cp:lastModifiedBy>David Stokes</cp:lastModifiedBy>
  <dcterms:modified xsi:type="dcterms:W3CDTF">2026-04-08T17:01:03Z</dcterms:modified>
  <cp:revision>1</cp:revision>
  <dc:subject/>
  <dc:title>Cloudax AI Incident Register</dc:title>
</cp:coreProperties>
</file>

<file path=docProps/custom.xml><?xml version="1.0" encoding="utf-8"?>
<Properties xmlns="http://schemas.openxmlformats.org/officeDocument/2006/custom-properties" xmlns:vt="http://schemas.openxmlformats.org/officeDocument/2006/docPropsVTypes"/>
</file>