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4400" w:type="dxa"/>
        <w:jc w:val="start"/>
        <w:tblInd w:w="0" w:type="dxa"/>
        <w:tblLayout w:type="fixed"/>
        <w:tblCellMar>
          <w:top w:w="700" w:type="dxa"/>
          <w:start w:w="600" w:type="dxa"/>
          <w:bottom w:w="700" w:type="dxa"/>
          <w:end w:w="600" w:type="dxa"/>
        </w:tblCellMar>
      </w:tblPr>
      <w:tblGrid>
        <w:gridCol w:w="14400"/>
      </w:tblGrid>
      <w:tr>
        <w:trPr>
          <w:trHeight w:val="3800" w:hRule="atLeast"/>
        </w:trPr>
        <w:tc>
          <w:tcPr>
            <w:tcW w:w="14400"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44"/>
                <w:szCs w:val="44"/>
              </w:rPr>
              <w:t>AI System Impact Assessment Register</w:t>
            </w:r>
          </w:p>
          <w:p>
            <w:pPr>
              <w:pStyle w:val="Normal"/>
              <w:spacing w:before="0" w:after="40"/>
              <w:jc w:val="center"/>
              <w:rPr/>
            </w:pPr>
            <w:r>
              <w:rPr>
                <w:rFonts w:eastAsia="Arial" w:cs="Arial"/>
                <w:color w:val="FFFFFF"/>
                <w:sz w:val="22"/>
                <w:szCs w:val="22"/>
              </w:rPr>
              <w:t>AI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14400" w:type="dxa"/>
        <w:jc w:val="start"/>
        <w:tblInd w:w="0" w:type="dxa"/>
        <w:tblLayout w:type="fixed"/>
        <w:tblCellMar>
          <w:top w:w="140" w:type="dxa"/>
          <w:start w:w="200" w:type="dxa"/>
          <w:bottom w:w="140" w:type="dxa"/>
          <w:end w:w="200" w:type="dxa"/>
        </w:tblCellMar>
      </w:tblPr>
      <w:tblGrid>
        <w:gridCol w:w="7200"/>
        <w:gridCol w:w="7199"/>
      </w:tblGrid>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AI-REG-AISIA-001</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AI System Impact Assessment Register</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AI Governance Lead</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AIMS SoA REFERENCE</w:t>
            </w:r>
          </w:p>
          <w:p>
            <w:pPr>
              <w:pStyle w:val="Normal"/>
              <w:spacing w:before="0" w:after="0"/>
              <w:rPr/>
            </w:pPr>
            <w:r>
              <w:rPr>
                <w:rFonts w:eastAsia="Arial" w:cs="Arial"/>
                <w:color w:val="1A1A1A"/>
                <w:sz w:val="22"/>
                <w:szCs w:val="22"/>
              </w:rPr>
              <w:t>AIMS-SOA-001 v1.0</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AIMS MAP</w:t>
            </w:r>
          </w:p>
          <w:p>
            <w:pPr>
              <w:pStyle w:val="Normal"/>
              <w:spacing w:before="0" w:after="0"/>
              <w:rPr/>
            </w:pPr>
            <w:r>
              <w:rPr>
                <w:rFonts w:eastAsia="Arial" w:cs="Arial"/>
                <w:color w:val="1A1A1A"/>
                <w:sz w:val="22"/>
                <w:szCs w:val="22"/>
              </w:rPr>
              <w:t>AIMS-MAP-001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Roles and Responsibilities</w:t>
      </w:r>
    </w:p>
    <w:p>
      <w:pPr>
        <w:pStyle w:val="Normal"/>
        <w:spacing w:before="40" w:after="40"/>
        <w:rPr/>
      </w:pPr>
      <w:r>
        <w:rPr>
          <w:rFonts w:eastAsia="Arial" w:cs="Arial"/>
          <w:color w:val="1A1A1A"/>
          <w:sz w:val="22"/>
          <w:szCs w:val="22"/>
        </w:rPr>
        <w:t>5. How to Use This Register</w:t>
      </w:r>
    </w:p>
    <w:p>
      <w:pPr>
        <w:pStyle w:val="Normal"/>
        <w:spacing w:before="40" w:after="40"/>
        <w:rPr/>
      </w:pPr>
      <w:r>
        <w:rPr>
          <w:rFonts w:eastAsia="Arial" w:cs="Arial"/>
          <w:color w:val="1A1A1A"/>
          <w:sz w:val="22"/>
          <w:szCs w:val="22"/>
        </w:rPr>
        <w:t>6. Register Schema</w:t>
      </w:r>
    </w:p>
    <w:p>
      <w:pPr>
        <w:pStyle w:val="Normal"/>
        <w:spacing w:before="40" w:after="40"/>
        <w:rPr/>
      </w:pPr>
      <w:r>
        <w:rPr>
          <w:rFonts w:eastAsia="Arial" w:cs="Arial"/>
          <w:color w:val="1A1A1A"/>
          <w:sz w:val="22"/>
          <w:szCs w:val="22"/>
        </w:rPr>
        <w:t>7. The Register (template + worked examples)</w:t>
      </w:r>
    </w:p>
    <w:p>
      <w:pPr>
        <w:pStyle w:val="Normal"/>
        <w:spacing w:before="40" w:after="40"/>
        <w:rPr/>
      </w:pPr>
      <w:r>
        <w:rPr>
          <w:rFonts w:eastAsia="Arial" w:cs="Arial"/>
          <w:color w:val="1A1A1A"/>
          <w:sz w:val="22"/>
          <w:szCs w:val="22"/>
        </w:rPr>
        <w:t>8. Relationship with DPIA (REG-DPIA-001)</w:t>
      </w:r>
    </w:p>
    <w:p>
      <w:pPr>
        <w:pStyle w:val="Normal"/>
        <w:spacing w:before="40" w:after="40"/>
        <w:rPr/>
      </w:pPr>
      <w:r>
        <w:rPr>
          <w:rFonts w:eastAsia="Arial" w:cs="Arial"/>
          <w:color w:val="1A1A1A"/>
          <w:sz w:val="22"/>
          <w:szCs w:val="22"/>
        </w:rPr>
        <w:t>9. Review Cadence</w:t>
      </w:r>
    </w:p>
    <w:p>
      <w:pPr>
        <w:pStyle w:val="Normal"/>
        <w:spacing w:before="40" w:after="40"/>
        <w:rPr/>
      </w:pPr>
      <w:r>
        <w:rPr>
          <w:rFonts w:eastAsia="Arial" w:cs="Arial"/>
          <w:color w:val="1A1A1A"/>
          <w:sz w:val="22"/>
          <w:szCs w:val="22"/>
        </w:rPr>
        <w:t>10. Maintenance</w:t>
      </w:r>
    </w:p>
    <w:p>
      <w:pPr>
        <w:pStyle w:val="Normal"/>
        <w:spacing w:before="40" w:after="40"/>
        <w:rPr/>
      </w:pPr>
      <w:r>
        <w:rPr>
          <w:rFonts w:eastAsia="Arial" w:cs="Arial"/>
          <w:color w:val="1A1A1A"/>
          <w:sz w:val="22"/>
          <w:szCs w:val="22"/>
        </w:rPr>
        <w:t>Annex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Register holds the index of every AI System Impact Assessment (AISIA) Cloudax has conducted. The full AISIA records (the assessments themselves) are held alongside this index in the AIMS document repository.</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ISO 42001 reference: A.5.3 Documentation of AI system impact assessments; A.5.2 AI system impact assessment process</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Register covers every AISIA conducted under AI-POL-004 and AI-PRO-002, for any AI system within the AIMS scope.</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Definitions are per AI-POL-004 §3.</w:t>
      </w:r>
    </w:p>
    <w:p>
      <w:pPr>
        <w:pStyle w:val="Heading1"/>
        <w:spacing w:before="360" w:after="180"/>
        <w:rPr/>
      </w:pPr>
      <w:r>
        <w:rPr>
          <w:rFonts w:eastAsia="Arial" w:cs="Arial" w:ascii="Arial" w:hAnsi="Arial"/>
          <w:b/>
          <w:bCs/>
          <w:color w:val="0000FF"/>
          <w:sz w:val="36"/>
          <w:szCs w:val="36"/>
        </w:rPr>
        <w:t>4. Roles and Responsibilities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color w:val="1A1A1A"/>
          <w:sz w:val="22"/>
          <w:szCs w:val="22"/>
        </w:rPr>
        <w:t>AI Governance Lead: owns this Register; signs off completed AISIAs; ensures the index is current.</w:t>
      </w:r>
    </w:p>
    <w:p>
      <w:pPr>
        <w:pStyle w:val="ListParagraph"/>
        <w:numPr>
          <w:ilvl w:val="0"/>
          <w:numId w:val="1"/>
        </w:numPr>
        <w:spacing w:lineRule="exact" w:line="280" w:before="40" w:after="40"/>
        <w:rPr/>
      </w:pPr>
      <w:r>
        <w:rPr>
          <w:rFonts w:eastAsia="Arial" w:cs="Arial"/>
          <w:color w:val="1A1A1A"/>
          <w:sz w:val="22"/>
          <w:szCs w:val="22"/>
        </w:rPr>
        <w:t>Project / feature owners: lead the AISIA for their AI system; the resulting record is added to this Register.</w:t>
      </w:r>
    </w:p>
    <w:p>
      <w:pPr>
        <w:pStyle w:val="ListParagraph"/>
        <w:numPr>
          <w:ilvl w:val="0"/>
          <w:numId w:val="1"/>
        </w:numPr>
        <w:spacing w:lineRule="exact" w:line="280" w:before="40" w:after="40"/>
        <w:rPr/>
      </w:pPr>
      <w:r>
        <w:rPr>
          <w:rFonts w:eastAsia="Arial" w:cs="Arial"/>
          <w:color w:val="1A1A1A"/>
          <w:sz w:val="22"/>
          <w:szCs w:val="22"/>
        </w:rPr>
        <w:t>Privacy Lead: contributes data subject impact perspective.</w:t>
      </w:r>
    </w:p>
    <w:p>
      <w:pPr>
        <w:pStyle w:val="Heading1"/>
        <w:spacing w:before="360" w:after="180"/>
        <w:rPr/>
      </w:pPr>
      <w:r>
        <w:rPr>
          <w:rFonts w:eastAsia="Arial" w:cs="Arial" w:ascii="Arial" w:hAnsi="Arial"/>
          <w:b/>
          <w:bCs/>
          <w:color w:val="0000FF"/>
          <w:sz w:val="36"/>
          <w:szCs w:val="36"/>
        </w:rPr>
        <w:t>5. How to Use This Register</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Each AISIA has a unique identifier (AISIA-NNN).</w:t>
      </w:r>
    </w:p>
    <w:p>
      <w:pPr>
        <w:pStyle w:val="ListParagraph"/>
        <w:numPr>
          <w:ilvl w:val="0"/>
          <w:numId w:val="1"/>
        </w:numPr>
        <w:spacing w:lineRule="exact" w:line="280" w:before="40" w:after="40"/>
        <w:rPr/>
      </w:pPr>
      <w:r>
        <w:rPr>
          <w:rFonts w:eastAsia="Arial" w:cs="Arial"/>
          <w:color w:val="1A1A1A"/>
          <w:sz w:val="22"/>
          <w:szCs w:val="22"/>
        </w:rPr>
        <w:t>AISIA records persist permanently — superseded AISIAs are kept with status ‘Superseded’.</w:t>
      </w:r>
    </w:p>
    <w:p>
      <w:pPr>
        <w:pStyle w:val="ListParagraph"/>
        <w:numPr>
          <w:ilvl w:val="0"/>
          <w:numId w:val="1"/>
        </w:numPr>
        <w:spacing w:lineRule="exact" w:line="280" w:before="40" w:after="40"/>
        <w:rPr/>
      </w:pPr>
      <w:r>
        <w:rPr>
          <w:rFonts w:eastAsia="Arial" w:cs="Arial"/>
          <w:color w:val="1A1A1A"/>
          <w:sz w:val="22"/>
          <w:szCs w:val="22"/>
        </w:rPr>
        <w:t>A current AISIA must exist for each in-scope AI system; this Register is the easy way to confirm that.</w:t>
      </w:r>
    </w:p>
    <w:p>
      <w:pPr>
        <w:pStyle w:val="Heading1"/>
        <w:spacing w:before="360" w:after="180"/>
        <w:rPr/>
      </w:pPr>
      <w:r>
        <w:rPr>
          <w:rFonts w:eastAsia="Arial" w:cs="Arial" w:ascii="Arial" w:hAnsi="Arial"/>
          <w:b/>
          <w:bCs/>
          <w:color w:val="0000FF"/>
          <w:sz w:val="36"/>
          <w:szCs w:val="36"/>
        </w:rPr>
        <w:t>6. Register Schema</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Each AISIA entry contains:</w:t>
      </w:r>
    </w:p>
    <w:p>
      <w:pPr>
        <w:pStyle w:val="ListParagraph"/>
        <w:numPr>
          <w:ilvl w:val="0"/>
          <w:numId w:val="1"/>
        </w:numPr>
        <w:spacing w:lineRule="exact" w:line="280" w:before="40" w:after="40"/>
        <w:rPr/>
      </w:pPr>
      <w:r>
        <w:rPr>
          <w:rFonts w:eastAsia="Arial" w:cs="Arial"/>
          <w:color w:val="1A1A1A"/>
          <w:sz w:val="22"/>
          <w:szCs w:val="22"/>
        </w:rPr>
        <w:t>AISIA reference (AISIA-NNN).</w:t>
      </w:r>
    </w:p>
    <w:p>
      <w:pPr>
        <w:pStyle w:val="ListParagraph"/>
        <w:numPr>
          <w:ilvl w:val="0"/>
          <w:numId w:val="1"/>
        </w:numPr>
        <w:spacing w:lineRule="exact" w:line="280" w:before="40" w:after="40"/>
        <w:rPr/>
      </w:pPr>
      <w:r>
        <w:rPr>
          <w:rFonts w:eastAsia="Arial" w:cs="Arial"/>
          <w:color w:val="1A1A1A"/>
          <w:sz w:val="22"/>
          <w:szCs w:val="22"/>
        </w:rPr>
        <w:t>AI system reference (AI-SYS-NNN, linked to AI-REG-INV-001).</w:t>
      </w:r>
    </w:p>
    <w:p>
      <w:pPr>
        <w:pStyle w:val="ListParagraph"/>
        <w:numPr>
          <w:ilvl w:val="0"/>
          <w:numId w:val="1"/>
        </w:numPr>
        <w:spacing w:lineRule="exact" w:line="280" w:before="40" w:after="40"/>
        <w:rPr/>
      </w:pPr>
      <w:r>
        <w:rPr>
          <w:rFonts w:eastAsia="Arial" w:cs="Arial"/>
          <w:color w:val="1A1A1A"/>
          <w:sz w:val="22"/>
          <w:szCs w:val="22"/>
        </w:rPr>
        <w:t>Trigger for the AISIA.</w:t>
      </w:r>
    </w:p>
    <w:p>
      <w:pPr>
        <w:pStyle w:val="ListParagraph"/>
        <w:numPr>
          <w:ilvl w:val="0"/>
          <w:numId w:val="1"/>
        </w:numPr>
        <w:spacing w:lineRule="exact" w:line="280" w:before="40" w:after="40"/>
        <w:rPr/>
      </w:pPr>
      <w:r>
        <w:rPr>
          <w:rFonts w:eastAsia="Arial" w:cs="Arial"/>
          <w:color w:val="1A1A1A"/>
          <w:sz w:val="22"/>
          <w:szCs w:val="22"/>
        </w:rPr>
        <w:t>Depth (Light / Standard / Enhanced).</w:t>
      </w:r>
    </w:p>
    <w:p>
      <w:pPr>
        <w:pStyle w:val="ListParagraph"/>
        <w:numPr>
          <w:ilvl w:val="0"/>
          <w:numId w:val="1"/>
        </w:numPr>
        <w:spacing w:lineRule="exact" w:line="280" w:before="40" w:after="40"/>
        <w:rPr/>
      </w:pPr>
      <w:r>
        <w:rPr>
          <w:rFonts w:eastAsia="Arial" w:cs="Arial"/>
          <w:color w:val="1A1A1A"/>
          <w:sz w:val="22"/>
          <w:szCs w:val="22"/>
        </w:rPr>
        <w:t>Date completed.</w:t>
      </w:r>
    </w:p>
    <w:p>
      <w:pPr>
        <w:pStyle w:val="ListParagraph"/>
        <w:numPr>
          <w:ilvl w:val="0"/>
          <w:numId w:val="1"/>
        </w:numPr>
        <w:spacing w:lineRule="exact" w:line="280" w:before="40" w:after="40"/>
        <w:rPr/>
      </w:pPr>
      <w:r>
        <w:rPr>
          <w:rFonts w:eastAsia="Arial" w:cs="Arial"/>
          <w:color w:val="1A1A1A"/>
          <w:sz w:val="22"/>
          <w:szCs w:val="22"/>
        </w:rPr>
        <w:t>Lead (named individual).</w:t>
      </w:r>
    </w:p>
    <w:p>
      <w:pPr>
        <w:pStyle w:val="ListParagraph"/>
        <w:numPr>
          <w:ilvl w:val="0"/>
          <w:numId w:val="1"/>
        </w:numPr>
        <w:spacing w:lineRule="exact" w:line="280" w:before="40" w:after="40"/>
        <w:rPr/>
      </w:pPr>
      <w:r>
        <w:rPr>
          <w:rFonts w:eastAsia="Arial" w:cs="Arial"/>
          <w:color w:val="1A1A1A"/>
          <w:sz w:val="22"/>
          <w:szCs w:val="22"/>
        </w:rPr>
        <w:t>Residual impact band (Low / Moderate / High / Critical).</w:t>
      </w:r>
    </w:p>
    <w:p>
      <w:pPr>
        <w:pStyle w:val="ListParagraph"/>
        <w:numPr>
          <w:ilvl w:val="0"/>
          <w:numId w:val="1"/>
        </w:numPr>
        <w:spacing w:lineRule="exact" w:line="280" w:before="40" w:after="40"/>
        <w:rPr/>
      </w:pPr>
      <w:r>
        <w:rPr>
          <w:rFonts w:eastAsia="Arial" w:cs="Arial"/>
          <w:color w:val="1A1A1A"/>
          <w:sz w:val="22"/>
          <w:szCs w:val="22"/>
        </w:rPr>
        <w:t>Acceptance authority (AI Governance Lead / CEO).</w:t>
      </w:r>
    </w:p>
    <w:p>
      <w:pPr>
        <w:pStyle w:val="ListParagraph"/>
        <w:numPr>
          <w:ilvl w:val="0"/>
          <w:numId w:val="1"/>
        </w:numPr>
        <w:spacing w:lineRule="exact" w:line="280" w:before="40" w:after="40"/>
        <w:rPr/>
      </w:pPr>
      <w:r>
        <w:rPr>
          <w:rFonts w:eastAsia="Arial" w:cs="Arial"/>
          <w:color w:val="1A1A1A"/>
          <w:sz w:val="22"/>
          <w:szCs w:val="22"/>
        </w:rPr>
        <w:t>Cross-references (DPIA, AI Risk Register entries, related incidents).</w:t>
      </w:r>
    </w:p>
    <w:p>
      <w:pPr>
        <w:pStyle w:val="ListParagraph"/>
        <w:numPr>
          <w:ilvl w:val="0"/>
          <w:numId w:val="1"/>
        </w:numPr>
        <w:spacing w:lineRule="exact" w:line="280" w:before="40" w:after="40"/>
        <w:rPr/>
      </w:pPr>
      <w:r>
        <w:rPr>
          <w:rFonts w:eastAsia="Arial" w:cs="Arial"/>
          <w:color w:val="1A1A1A"/>
          <w:sz w:val="22"/>
          <w:szCs w:val="22"/>
        </w:rPr>
        <w:t>Review / refresh date.</w:t>
      </w:r>
    </w:p>
    <w:p>
      <w:pPr>
        <w:pStyle w:val="ListParagraph"/>
        <w:numPr>
          <w:ilvl w:val="0"/>
          <w:numId w:val="1"/>
        </w:numPr>
        <w:spacing w:lineRule="exact" w:line="280" w:before="40" w:after="40"/>
        <w:rPr/>
      </w:pPr>
      <w:r>
        <w:rPr>
          <w:rFonts w:eastAsia="Arial" w:cs="Arial"/>
          <w:color w:val="1A1A1A"/>
          <w:sz w:val="22"/>
          <w:szCs w:val="22"/>
        </w:rPr>
        <w:t>Status (Current / Superseded).</w:t>
      </w:r>
    </w:p>
    <w:p>
      <w:pPr>
        <w:pStyle w:val="Heading1"/>
        <w:spacing w:before="360" w:after="180"/>
        <w:rPr/>
      </w:pPr>
      <w:r>
        <w:rPr>
          <w:rFonts w:eastAsia="Arial" w:cs="Arial" w:ascii="Arial" w:hAnsi="Arial"/>
          <w:b/>
          <w:bCs/>
          <w:color w:val="0000FF"/>
          <w:sz w:val="36"/>
          <w:szCs w:val="36"/>
        </w:rPr>
        <w:t>7. The Register (template + worked examples)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Worked examples corresponding to the AI systems in AI-REG-INV-001.</w:t>
      </w:r>
    </w:p>
    <w:p>
      <w:pPr>
        <w:pStyle w:val="Normal"/>
        <w:spacing w:before="60" w:after="60"/>
        <w:rPr/>
      </w:pPr>
      <w:r>
        <w:rPr/>
      </w:r>
    </w:p>
    <w:tbl>
      <w:tblPr>
        <w:tblW w:w="13100" w:type="dxa"/>
        <w:jc w:val="start"/>
        <w:tblInd w:w="0" w:type="dxa"/>
        <w:tblLayout w:type="fixed"/>
        <w:tblCellMar>
          <w:top w:w="80" w:type="dxa"/>
          <w:start w:w="120" w:type="dxa"/>
          <w:bottom w:w="80" w:type="dxa"/>
          <w:end w:w="120" w:type="dxa"/>
        </w:tblCellMar>
      </w:tblPr>
      <w:tblGrid>
        <w:gridCol w:w="1100"/>
        <w:gridCol w:w="1099"/>
        <w:gridCol w:w="2300"/>
        <w:gridCol w:w="900"/>
        <w:gridCol w:w="900"/>
        <w:gridCol w:w="1101"/>
        <w:gridCol w:w="1100"/>
        <w:gridCol w:w="1300"/>
        <w:gridCol w:w="1100"/>
        <w:gridCol w:w="1099"/>
        <w:gridCol w:w="1099"/>
      </w:tblGrid>
      <w:tr>
        <w:trPr>
          <w:tblHeader w:val="true"/>
        </w:trPr>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AISIA REF</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AI SYS REF</w:t>
            </w:r>
          </w:p>
        </w:tc>
        <w:tc>
          <w:tcPr>
            <w:tcW w:w="23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TRIGGER</w:t>
            </w:r>
          </w:p>
        </w:tc>
        <w:tc>
          <w:tcPr>
            <w:tcW w:w="9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DEPTH</w:t>
            </w:r>
          </w:p>
        </w:tc>
        <w:tc>
          <w:tcPr>
            <w:tcW w:w="9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DATE</w:t>
            </w:r>
          </w:p>
        </w:tc>
        <w:tc>
          <w:tcPr>
            <w:tcW w:w="11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LEAD</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RESIDUAL</w:t>
            </w:r>
          </w:p>
        </w:tc>
        <w:tc>
          <w:tcPr>
            <w:tcW w:w="13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ACCEPT</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DPIA REF</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REVIEW</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STATUS</w:t>
            </w:r>
          </w:p>
        </w:tc>
      </w:tr>
      <w:tr>
        <w:trPr/>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AISIA-001</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AI-SYS-001</w:t>
            </w:r>
          </w:p>
        </w:tc>
        <w:tc>
          <w:tcPr>
            <w:tcW w:w="2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Annual refresh</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Standard</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 2026</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Gov Lead</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High</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CEO aware</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DPIA-006</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 2027</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Current</w:t>
            </w:r>
          </w:p>
        </w:tc>
      </w:tr>
      <w:tr>
        <w:trPr/>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AISIA-002</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AI-SYS-002</w:t>
            </w:r>
          </w:p>
        </w:tc>
        <w:tc>
          <w:tcPr>
            <w:tcW w:w="2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Annual refresh</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Standard</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 2026</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Gov Lead</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Mod</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Gov Lead</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DPIA-006</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 2027</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Current</w:t>
            </w:r>
          </w:p>
        </w:tc>
      </w:tr>
      <w:tr>
        <w:trPr/>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AISIA-003</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AI-SYS-003</w:t>
            </w:r>
          </w:p>
        </w:tc>
        <w:tc>
          <w:tcPr>
            <w:tcW w:w="2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Annual refresh</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Light</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 2026</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Gov Lead</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Low</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Gov Lead</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n/a</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 2027</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Current</w:t>
            </w:r>
          </w:p>
        </w:tc>
      </w:tr>
      <w:tr>
        <w:trPr/>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AISIA-004</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AI-SYS-004</w:t>
            </w:r>
          </w:p>
        </w:tc>
        <w:tc>
          <w:tcPr>
            <w:tcW w:w="2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 feature pre-deployment</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Standard</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Mar 2026</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Privacy Lead</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Mod</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Gov Lead</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DPIA-007</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Mar 2027</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Current</w:t>
            </w:r>
          </w:p>
        </w:tc>
      </w:tr>
      <w:tr>
        <w:trPr/>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AISIA-005</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AI-SYS-005</w:t>
            </w:r>
          </w:p>
        </w:tc>
        <w:tc>
          <w:tcPr>
            <w:tcW w:w="2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Annual refresh</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Standard</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 2026</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Gov Lead</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Mod</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Gov Lead</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DPIA-006</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 2027</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Current</w:t>
            </w:r>
          </w:p>
        </w:tc>
      </w:tr>
      <w:tr>
        <w:trPr/>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AISIA-006</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AI-SYS-006</w:t>
            </w:r>
          </w:p>
        </w:tc>
        <w:tc>
          <w:tcPr>
            <w:tcW w:w="2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Internal tool onboarding</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Light</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 2026</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Gov Lead</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Low</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Gov Lead</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n/a</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 2027</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Current</w:t>
            </w:r>
          </w:p>
        </w:tc>
      </w:tr>
      <w:tr>
        <w:trPr/>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AISIA-XXX</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[next]</w:t>
            </w:r>
          </w:p>
        </w:tc>
        <w:tc>
          <w:tcPr>
            <w:tcW w:w="2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r>
    </w:tbl>
    <w:p>
      <w:pPr>
        <w:pStyle w:val="Heading1"/>
        <w:spacing w:before="360" w:after="180"/>
        <w:rPr/>
      </w:pPr>
      <w:r>
        <w:rPr>
          <w:rFonts w:eastAsia="Arial" w:cs="Arial" w:ascii="Arial" w:hAnsi="Arial"/>
          <w:b/>
          <w:bCs/>
          <w:color w:val="0000FF"/>
          <w:sz w:val="36"/>
          <w:szCs w:val="36"/>
        </w:rPr>
        <w:t>8. Relationship with DPIA (REG-DPIA-001)</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AISIA covers AI-specific impact (bias, transparency, autonomy, societal effects).</w:t>
      </w:r>
    </w:p>
    <w:p>
      <w:pPr>
        <w:pStyle w:val="ListParagraph"/>
        <w:numPr>
          <w:ilvl w:val="0"/>
          <w:numId w:val="1"/>
        </w:numPr>
        <w:spacing w:lineRule="exact" w:line="280" w:before="40" w:after="40"/>
        <w:rPr/>
      </w:pPr>
      <w:r>
        <w:rPr>
          <w:rFonts w:eastAsia="Arial" w:cs="Arial"/>
          <w:color w:val="1A1A1A"/>
          <w:sz w:val="22"/>
          <w:szCs w:val="22"/>
        </w:rPr>
        <w:t>DPIA covers data protection-specific impact under UK GDPR Article 35.</w:t>
      </w:r>
    </w:p>
    <w:p>
      <w:pPr>
        <w:pStyle w:val="ListParagraph"/>
        <w:numPr>
          <w:ilvl w:val="0"/>
          <w:numId w:val="1"/>
        </w:numPr>
        <w:spacing w:lineRule="exact" w:line="280" w:before="40" w:after="40"/>
        <w:rPr/>
      </w:pPr>
      <w:r>
        <w:rPr>
          <w:rFonts w:eastAsia="Arial" w:cs="Arial"/>
          <w:color w:val="1A1A1A"/>
          <w:sz w:val="22"/>
          <w:szCs w:val="22"/>
        </w:rPr>
        <w:t>Where an AI system processes personal data, both apply; cross-references are maintained.</w:t>
      </w:r>
    </w:p>
    <w:p>
      <w:pPr>
        <w:pStyle w:val="ListParagraph"/>
        <w:numPr>
          <w:ilvl w:val="0"/>
          <w:numId w:val="1"/>
        </w:numPr>
        <w:spacing w:lineRule="exact" w:line="280" w:before="40" w:after="40"/>
        <w:rPr/>
      </w:pPr>
      <w:r>
        <w:rPr>
          <w:rFonts w:eastAsia="Arial" w:cs="Arial"/>
          <w:color w:val="1A1A1A"/>
          <w:sz w:val="22"/>
          <w:szCs w:val="22"/>
        </w:rPr>
        <w:t>A combined AISIA + DPIA record is acceptable provided both standards’ requirements are met.</w:t>
      </w:r>
    </w:p>
    <w:p>
      <w:pPr>
        <w:pStyle w:val="Heading1"/>
        <w:spacing w:before="360" w:after="180"/>
        <w:rPr/>
      </w:pPr>
      <w:r>
        <w:rPr>
          <w:rFonts w:eastAsia="Arial" w:cs="Arial" w:ascii="Arial" w:hAnsi="Arial"/>
          <w:b/>
          <w:bCs/>
          <w:color w:val="0000FF"/>
          <w:sz w:val="36"/>
          <w:szCs w:val="36"/>
        </w:rPr>
        <w:t>9. Review Cadence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Each AISIA has its own review date (Section 6).</w:t>
      </w:r>
    </w:p>
    <w:p>
      <w:pPr>
        <w:pStyle w:val="ListParagraph"/>
        <w:numPr>
          <w:ilvl w:val="0"/>
          <w:numId w:val="1"/>
        </w:numPr>
        <w:spacing w:lineRule="exact" w:line="280" w:before="40" w:after="40"/>
        <w:rPr/>
      </w:pPr>
      <w:r>
        <w:rPr>
          <w:rFonts w:eastAsia="Arial" w:cs="Arial"/>
          <w:color w:val="1A1A1A"/>
          <w:sz w:val="22"/>
          <w:szCs w:val="22"/>
        </w:rPr>
        <w:t>Out-of-cycle review on material change to the AI system or following an incident.</w:t>
      </w:r>
    </w:p>
    <w:p>
      <w:pPr>
        <w:pStyle w:val="ListParagraph"/>
        <w:numPr>
          <w:ilvl w:val="0"/>
          <w:numId w:val="1"/>
        </w:numPr>
        <w:spacing w:lineRule="exact" w:line="280" w:before="40" w:after="40"/>
        <w:rPr/>
      </w:pPr>
      <w:r>
        <w:rPr>
          <w:rFonts w:eastAsia="Arial" w:cs="Arial"/>
          <w:color w:val="1A1A1A"/>
          <w:sz w:val="22"/>
          <w:szCs w:val="22"/>
        </w:rPr>
        <w:t>Full register review annually for completeness.</w:t>
      </w:r>
    </w:p>
    <w:p>
      <w:pPr>
        <w:pStyle w:val="Heading1"/>
        <w:spacing w:before="360" w:after="180"/>
        <w:rPr/>
      </w:pPr>
      <w:r>
        <w:rPr>
          <w:rFonts w:eastAsia="Arial" w:cs="Arial" w:ascii="Arial" w:hAnsi="Arial"/>
          <w:b/>
          <w:bCs/>
          <w:color w:val="0000FF"/>
          <w:sz w:val="36"/>
          <w:szCs w:val="36"/>
        </w:rPr>
        <w:t>10. Maintenance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Register is updated as AISIAs are completed, refreshed, or superseded.</w:t>
      </w:r>
    </w:p>
    <w:p>
      <w:pPr>
        <w:pStyle w:val="ListParagraph"/>
        <w:numPr>
          <w:ilvl w:val="0"/>
          <w:numId w:val="1"/>
        </w:numPr>
        <w:spacing w:lineRule="exact" w:line="280" w:before="40" w:after="40"/>
        <w:rPr/>
      </w:pPr>
      <w:r>
        <w:rPr>
          <w:rFonts w:eastAsia="Arial" w:cs="Arial"/>
          <w:color w:val="1A1A1A"/>
          <w:sz w:val="22"/>
          <w:szCs w:val="22"/>
        </w:rPr>
        <w:t>This document structure is reviewed at least annually.</w:t>
      </w:r>
    </w:p>
    <w:p>
      <w:pPr>
        <w:pStyle w:val="Normal"/>
        <w:spacing w:before="60" w:after="60"/>
        <w:rPr/>
      </w:pPr>
      <w:r>
        <w:rPr/>
      </w:r>
    </w:p>
    <w:p>
      <w:pPr>
        <w:pStyle w:val="Heading1"/>
        <w:spacing w:before="360" w:after="180"/>
        <w:rPr/>
      </w:pPr>
      <w:r>
        <w:rPr>
          <w:rFonts w:eastAsia="Arial" w:cs="Arial" w:ascii="Arial" w:hAnsi="Arial"/>
          <w:b/>
          <w:bCs/>
          <w:color w:val="0000FF"/>
          <w:sz w:val="36"/>
          <w:szCs w:val="36"/>
        </w:rPr>
        <w:t>Annex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AI Governance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with schema and worked examples corresponding to AI-REG-INV-001.</w:t>
            </w:r>
          </w:p>
        </w:tc>
      </w:tr>
    </w:tbl>
    <w:sectPr>
      <w:headerReference w:type="even" r:id="rId3"/>
      <w:headerReference w:type="default" r:id="rId4"/>
      <w:headerReference w:type="first" r:id="rId5"/>
      <w:footerReference w:type="even" r:id="rId6"/>
      <w:footerReference w:type="default" r:id="rId7"/>
      <w:footerReference w:type="first" r:id="rId8"/>
      <w:type w:val="nextPage"/>
      <w:pgSz w:orient="landscape" w:w="16838" w:h="11906"/>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AI-REG-AISIA-001 AI System Impact Assessment Register  •  Internal  </w:t>
      <w:tab/>
      <w:t>v1.0  •  April 2026</w:t>
      <w:tab/>
      <w:t xml:space="preserve">Page </w:t>
    </w:r>
    <w:r>
      <w:rPr/>
      <w:fldChar w:fldCharType="begin"/>
    </w:r>
    <w:r>
      <w:rPr/>
      <w:instrText xml:space="preserve"> PAGE </w:instrText>
    </w:r>
    <w:r>
      <w:rPr/>
      <w:fldChar w:fldCharType="separate"/>
    </w:r>
    <w:r>
      <w:rPr/>
      <w:t>7</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AI-REG-AISIA-001 AI System Impact Assessment Register  •  Internal  </w:t>
      <w:tab/>
      <w:t>v1.0  •  April 2026</w:t>
      <w:tab/>
      <w:t xml:space="preserve">Page </w:t>
    </w:r>
    <w:r>
      <w:rPr/>
      <w:fldChar w:fldCharType="begin"/>
    </w:r>
    <w:r>
      <w:rPr/>
      <w:instrText xml:space="preserve"> PAGE </w:instrText>
    </w:r>
    <w:r>
      <w:rPr/>
      <w:fldChar w:fldCharType="separate"/>
    </w:r>
    <w:r>
      <w:rPr/>
      <w:t>7</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2026-04-10T09:42:52Z</dcterms:created>
  <dc:creator>David Stokes</dc:creator>
  <dc:description/>
  <dc:language>en-US</dc:language>
  <cp:lastModifiedBy>David Stokes</cp:lastModifiedBy>
  <dcterms:modified xsi:type="dcterms:W3CDTF">2026-04-10T12:09:52Z</dcterms:modified>
  <cp:revision>1</cp:revision>
  <dc:subject/>
  <dc:title>Cloudax AI System Impact Assessment Register</dc:title>
</cp:coreProperties>
</file>

<file path=docProps/custom.xml><?xml version="1.0" encoding="utf-8"?>
<Properties xmlns="http://schemas.openxmlformats.org/officeDocument/2006/custom-properties" xmlns:vt="http://schemas.openxmlformats.org/officeDocument/2006/docPropsVTypes"/>
</file>