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400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14400"/>
      </w:tblGrid>
      <w:tr>
        <w:trPr>
          <w:trHeight w:val="3800" w:hRule="atLeast"/>
        </w:trPr>
        <w:tc>
          <w:tcPr>
            <w:tcW w:w="14400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4"/>
                <w:szCs w:val="44"/>
              </w:rPr>
              <w:t>Third-Party AI Provider Register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AI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1440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7200"/>
        <w:gridCol w:w="7199"/>
      </w:tblGrid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AI-REG-3P-001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Third-Party AI Provider Register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 Governance Lead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72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AIMS-SOA-001 v1.0</w:t>
            </w:r>
          </w:p>
        </w:tc>
        <w:tc>
          <w:tcPr>
            <w:tcW w:w="7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AIMS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AIMS-MAP-001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How to Use This Register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Provider Schema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Provider Tiering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The Register (template + worked examples)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Sub-Processor Disclosures to Customers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Review Cadence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Register holds the inventory of third-party AI providers Cloudax consumes capabilities from — LLMs, ASR/TTS, foundation models, embedding services, AI tooling. It supports A.10.3 (Suppliers) and the customer-facing sub-processor disclosure required by Cloudax DPAs.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ISO 42001 reference: A.10.3 Suppliers; A.10.2 Allocating responsibilities; cross-reference to A.5.19 in the ISMS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Register covers all third-party AI providers whose capabilities are consumed by Cloudax — in the platform or by personnel for Cloudax work.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Definitions are per AI-POL-009 §3.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Governance Lead: owns this Register; coordinates onboarding and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contributes technical assessment and integration.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owns sub-processor disclosure to customers.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contributes security assessment via PRO-021/PRO-022.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How to Use This Register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provider has a unique identifier (AI-3P-NNN).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(Section 7) drives review cadence and assurance depth.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holds template + worked examples; the live register is maintained as a structured store.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Provider Schema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provider entry contains: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Identifier (AI-3P-NNN); provider name; capability provided.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(Section 7).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Onboarding assessment date and outcome.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Contract reference; DPA in place (Yes / No / N/A).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Sub-processor (Yes / No).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handling commitments (no-training, retention, residency).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Hosting region(s).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Used by (AI system reference(s)).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Contract owner.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Last review date; next review 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Exit plan reference (Tier 1 only).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(Active / Onboarding / Suspended / Exited).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Provider Tiering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199"/>
        <w:gridCol w:w="5800"/>
        <w:gridCol w:w="2027"/>
      </w:tblGrid>
      <w:tr>
        <w:trPr>
          <w:tblHeader w:val="true"/>
        </w:trPr>
        <w:tc>
          <w:tcPr>
            <w:tcW w:w="1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TIER</w:t>
            </w:r>
          </w:p>
        </w:tc>
        <w:tc>
          <w:tcPr>
            <w:tcW w:w="58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DEFINITION</w:t>
            </w:r>
          </w:p>
        </w:tc>
        <w:tc>
          <w:tcPr>
            <w:tcW w:w="20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REVIEW CADENCE</w:t>
            </w:r>
          </w:p>
        </w:tc>
      </w:tr>
      <w:tr>
        <w:trPr/>
        <w:tc>
          <w:tcPr>
            <w:tcW w:w="1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Tier 1</w:t>
            </w:r>
          </w:p>
        </w:tc>
        <w:tc>
          <w:tcPr>
            <w:tcW w:w="5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 whose behaviour materially affects Cloudax service or customer outcomes (e.g. primary LLM, primary ASR)</w:t>
            </w:r>
          </w:p>
        </w:tc>
        <w:tc>
          <w:tcPr>
            <w:tcW w:w="2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Quarterly + annual full assurance refresh</w:t>
            </w:r>
          </w:p>
        </w:tc>
      </w:tr>
      <w:tr>
        <w:trPr/>
        <w:tc>
          <w:tcPr>
            <w:tcW w:w="1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Tier 2</w:t>
            </w:r>
          </w:p>
        </w:tc>
        <w:tc>
          <w:tcPr>
            <w:tcW w:w="5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Provider used in production with limited customer impact, or used in development</w:t>
            </w:r>
          </w:p>
        </w:tc>
        <w:tc>
          <w:tcPr>
            <w:tcW w:w="2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Annual</w:t>
            </w:r>
          </w:p>
        </w:tc>
      </w:tr>
      <w:tr>
        <w:trPr/>
        <w:tc>
          <w:tcPr>
            <w:tcW w:w="1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Tier 3</w:t>
            </w:r>
          </w:p>
        </w:tc>
        <w:tc>
          <w:tcPr>
            <w:tcW w:w="58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Internal tooling provider (coding assistant, document assistant) where Cloudax data exposure is limited or contained</w:t>
            </w:r>
          </w:p>
        </w:tc>
        <w:tc>
          <w:tcPr>
            <w:tcW w:w="20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Annual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The Register (template + worked examples)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60" w:after="60"/>
        <w:rPr/>
      </w:pPr>
      <w:r>
        <w:rPr/>
      </w:r>
    </w:p>
    <w:tbl>
      <w:tblPr>
        <w:tblW w:w="1480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000"/>
        <w:gridCol w:w="2300"/>
        <w:gridCol w:w="2300"/>
        <w:gridCol w:w="799"/>
        <w:gridCol w:w="801"/>
        <w:gridCol w:w="900"/>
        <w:gridCol w:w="2499"/>
        <w:gridCol w:w="1100"/>
        <w:gridCol w:w="1501"/>
        <w:gridCol w:w="700"/>
        <w:gridCol w:w="898"/>
      </w:tblGrid>
      <w:tr>
        <w:trPr>
          <w:tblHeader w:val="true"/>
        </w:trPr>
        <w:tc>
          <w:tcPr>
            <w:tcW w:w="1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23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PROVIDER</w:t>
            </w:r>
          </w:p>
        </w:tc>
        <w:tc>
          <w:tcPr>
            <w:tcW w:w="23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CAPABILITY</w:t>
            </w:r>
          </w:p>
        </w:tc>
        <w:tc>
          <w:tcPr>
            <w:tcW w:w="7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TIER</w:t>
            </w:r>
          </w:p>
        </w:tc>
        <w:tc>
          <w:tcPr>
            <w:tcW w:w="8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DPA</w:t>
            </w:r>
          </w:p>
        </w:tc>
        <w:tc>
          <w:tcPr>
            <w:tcW w:w="9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SUB-PROC</w:t>
            </w:r>
          </w:p>
        </w:tc>
        <w:tc>
          <w:tcPr>
            <w:tcW w:w="24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DATA HANDLING</w:t>
            </w:r>
          </w:p>
        </w:tc>
        <w:tc>
          <w:tcPr>
            <w:tcW w:w="11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REGION</w:t>
            </w:r>
          </w:p>
        </w:tc>
        <w:tc>
          <w:tcPr>
            <w:tcW w:w="15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USED BY</w:t>
            </w:r>
          </w:p>
        </w:tc>
        <w:tc>
          <w:tcPr>
            <w:tcW w:w="7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REVIEW</w:t>
            </w:r>
          </w:p>
        </w:tc>
        <w:tc>
          <w:tcPr>
            <w:tcW w:w="898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4"/>
                <w:szCs w:val="14"/>
              </w:rPr>
              <w:t>STATUS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AI-3P-001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[Provider name — LLM provider A]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Large  API</w:t>
            </w:r>
          </w:p>
        </w:tc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Tier 1</w:t>
            </w:r>
          </w:p>
        </w:tc>
        <w:tc>
          <w:tcPr>
            <w:tcW w:w="8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Yes</w:t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Yes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No-training; 30-day retention; UK/EU region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UK / EU</w:t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AI-SYS-001, AI-SYS-004</w:t>
            </w:r>
          </w:p>
        </w:tc>
        <w:tc>
          <w:tcPr>
            <w:tcW w:w="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Quarterly</w:t>
            </w:r>
          </w:p>
        </w:tc>
        <w:tc>
          <w:tcPr>
            <w:tcW w:w="8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Active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AI-3P-002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[Provider name — ASR provider]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Speech-to-text API</w:t>
            </w:r>
          </w:p>
        </w:tc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Tier 1</w:t>
            </w:r>
          </w:p>
        </w:tc>
        <w:tc>
          <w:tcPr>
            <w:tcW w:w="8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Yes</w:t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Yes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No-training; 0-day retention; UK region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UK</w:t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AI-SYS-002</w:t>
            </w:r>
          </w:p>
        </w:tc>
        <w:tc>
          <w:tcPr>
            <w:tcW w:w="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Quarterly</w:t>
            </w:r>
          </w:p>
        </w:tc>
        <w:tc>
          <w:tcPr>
            <w:tcW w:w="8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Active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AI-3P-003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[Provider name — TTS provider]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Text-to-speech API (synthetic voices)</w:t>
            </w:r>
          </w:p>
        </w:tc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Tier 2</w:t>
            </w:r>
          </w:p>
        </w:tc>
        <w:tc>
          <w:tcPr>
            <w:tcW w:w="8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Yes</w:t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Yes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No-training (synthetic voice catalogue); UK/EU region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UK / EU</w:t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AI-SYS-003</w:t>
            </w:r>
          </w:p>
        </w:tc>
        <w:tc>
          <w:tcPr>
            <w:tcW w:w="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  <w:tc>
          <w:tcPr>
            <w:tcW w:w="8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Active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AI-3P-004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[Provider name — coding assistant]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Code generation assistant</w:t>
            </w:r>
          </w:p>
        </w:tc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Tier 3</w:t>
            </w:r>
          </w:p>
        </w:tc>
        <w:tc>
          <w:tcPr>
            <w:tcW w:w="8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Yes (Cloudax-side)</w:t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No (no PD)</w:t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No-training opt-in confirmed; enterprise plan</w:t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EU/US (per provider)</w:t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AI-SYS-006</w:t>
            </w:r>
          </w:p>
        </w:tc>
        <w:tc>
          <w:tcPr>
            <w:tcW w:w="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Annual</w:t>
            </w:r>
          </w:p>
        </w:tc>
        <w:tc>
          <w:tcPr>
            <w:tcW w:w="8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Active</w:t>
            </w:r>
          </w:p>
        </w:tc>
      </w:tr>
      <w:tr>
        <w:trPr/>
        <w:tc>
          <w:tcPr>
            <w:tcW w:w="1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4"/>
                <w:szCs w:val="14"/>
              </w:rPr>
              <w:t>AI-3P-XXX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4"/>
                <w:szCs w:val="14"/>
              </w:rPr>
              <w:t>[next]</w:t>
            </w:r>
          </w:p>
        </w:tc>
        <w:tc>
          <w:tcPr>
            <w:tcW w:w="23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8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Sub-Processor Disclosures to Customers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Providers marked as sub-processors are disclosed to customers per the customer DPA.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 sub-processors are notified to customers within the timeframe specified in the DPA (typically 30 days).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objection process is operated per the DPA.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The customer-facing sub-processor list is derived from this Register, filtered to providers with Sub-Processor = Yes.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Review Cadence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1 providers: quarterly review + annual full assurance refresh.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2 providers: annual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Tier 3 providers: annual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Out-of-cycle review on: provider behaviour change, security incident, regulatory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Register is updated continuously as providers are onboarded, reviewed, or exited.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This document structure is reviewed at least annually.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AI Governance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 with schema, tiering, and worked examples representing Cloudax’s third-party AI provider landscape.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AI-REG-3P-001 Third-Party AI Provider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7200" w:leader="none"/>
        <w:tab w:val="right" w:pos="14400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AI-REG-3P-001 Third-Party AI Provider Register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2026-04-07T08:52:59Z</dcterms:created>
  <dc:creator>David Stokes</dc:creator>
  <dc:description/>
  <dc:language>en-US</dc:language>
  <cp:lastModifiedBy>David Stokes</cp:lastModifiedBy>
  <dcterms:modified xsi:type="dcterms:W3CDTF">2026-04-07T12:22:59Z</dcterms:modified>
  <cp:revision>1</cp:revision>
  <dc:subject/>
  <dc:title>Cloudax Third-Party AI Provider Register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