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Information Security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ISMS-POL-001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2.0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Information Security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Managing Director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ISO 27001:2022</w:t>
            </w:r>
          </w:p>
          <w:p>
            <w:pPr>
              <w:pStyle w:val="Normal"/>
              <w:spacing w:before="0" w:after="0"/>
              <w:rPr/>
            </w:pPr>
            <w:r>
              <w:rPr>
                <w:rFonts w:eastAsia="Arial" w:cs="Arial"/>
                <w:color w:val="1A1A1A"/>
                <w:sz w:val="22"/>
                <w:szCs w:val="22"/>
              </w:rPr>
              <w:t>Aligned — see Annex A mapping</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SoA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Statement from the Managing Director</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At Cloudax, our customers trust us to handle their voice, their data, and their reputation. Every conversation our platform carries is underpinned by an assumption that we will protect it, use it responsibly, and give it back securely. That trust is the foundation of our business, and information security is how we keep it.</w:t>
      </w:r>
    </w:p>
    <w:p>
      <w:pPr>
        <w:pStyle w:val="Normal"/>
        <w:spacing w:lineRule="exact" w:line="300" w:before="80" w:after="120"/>
        <w:rPr/>
      </w:pPr>
      <w:r>
        <w:rPr>
          <w:rFonts w:eastAsia="Arial" w:cs="Arial"/>
          <w:color w:val="1A1A1A"/>
          <w:sz w:val="22"/>
          <w:szCs w:val="22"/>
        </w:rPr>
        <w:t>This Policy sets out how Cloudax protects the information it creates, holds, and processes on behalf of customers, employees, suppliers, and other interested parties. It defines the Information Security Management System (ISMS) that we operate in line with ISO/IEC 27001:2022, the commitments that underpin it, and the responsibilities that every member of the Cloudax team accepts as a condition of working here.</w:t>
      </w:r>
    </w:p>
    <w:p>
      <w:pPr>
        <w:pStyle w:val="Normal"/>
        <w:spacing w:lineRule="exact" w:line="300" w:before="80" w:after="120"/>
        <w:rPr/>
      </w:pPr>
      <w:r>
        <w:rPr>
          <w:rFonts w:eastAsia="Arial" w:cs="Arial"/>
          <w:color w:val="1A1A1A"/>
          <w:sz w:val="22"/>
          <w:szCs w:val="22"/>
        </w:rPr>
        <w:t>I personally sponsor and approve this Policy, the ISMS, and the objectives we set within it. I expect every member of the team, and every supplier and partner we work with, to apply the same care to information security that we bring to everything else we do at Cloudax — bold, welcoming, and reassuringly straightforward.</w:t>
      </w:r>
    </w:p>
    <w:p>
      <w:pPr>
        <w:pStyle w:val="Normal"/>
        <w:spacing w:before="600" w:after="60"/>
        <w:rPr/>
      </w:pPr>
      <w:r>
        <w:rPr>
          <w:rFonts w:eastAsia="Arial" w:cs="Arial"/>
          <w:color w:val="1A1A1A"/>
          <w:sz w:val="22"/>
          <w:szCs w:val="22"/>
        </w:rPr>
        <w:t>————————————————</w:t>
      </w:r>
    </w:p>
    <w:p>
      <w:pPr>
        <w:pStyle w:val="Normal"/>
        <w:spacing w:lineRule="exact" w:line="300" w:before="80" w:after="120"/>
        <w:rPr/>
      </w:pPr>
      <w:r>
        <w:rPr>
          <w:rFonts w:eastAsia="Arial" w:cs="Arial"/>
          <w:color w:val="1A1A1A"/>
          <w:sz w:val="22"/>
          <w:szCs w:val="22"/>
        </w:rPr>
        <w:t>Managing Director</w:t>
      </w:r>
    </w:p>
    <w:p>
      <w:pPr>
        <w:pStyle w:val="Normal"/>
        <w:spacing w:lineRule="exact" w:line="300" w:before="80" w:after="120"/>
        <w:rPr/>
      </w:pPr>
      <w:r>
        <w:rPr>
          <w:rFonts w:eastAsia="Arial" w:cs="Arial"/>
          <w:color w:val="1A1A1A"/>
          <w:sz w:val="22"/>
          <w:szCs w:val="22"/>
        </w:rPr>
        <w:t>Cloudax Ltd.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5.1 Leadership and commitment; Clause 5.2 Policy; A.5.1 Policies for information security; A.5.4 Management responsibilities</w:t>
      </w:r>
    </w:p>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 of the ISMS</w:t>
      </w:r>
    </w:p>
    <w:p>
      <w:pPr>
        <w:pStyle w:val="Normal"/>
        <w:spacing w:before="40" w:after="40"/>
        <w:rPr/>
      </w:pPr>
      <w:r>
        <w:rPr>
          <w:rFonts w:eastAsia="Arial" w:cs="Arial"/>
          <w:color w:val="1A1A1A"/>
          <w:sz w:val="22"/>
          <w:szCs w:val="22"/>
        </w:rPr>
        <w:t>3.  Context, Interested Parties, and Applicable Requirements</w:t>
      </w:r>
    </w:p>
    <w:p>
      <w:pPr>
        <w:pStyle w:val="Normal"/>
        <w:spacing w:before="40" w:after="40"/>
        <w:rPr/>
      </w:pPr>
      <w:r>
        <w:rPr>
          <w:rFonts w:eastAsia="Arial" w:cs="Arial"/>
          <w:color w:val="1A1A1A"/>
          <w:sz w:val="22"/>
          <w:szCs w:val="22"/>
        </w:rPr>
        <w:t>4.  Definitions</w:t>
      </w:r>
    </w:p>
    <w:p>
      <w:pPr>
        <w:pStyle w:val="Normal"/>
        <w:spacing w:before="40" w:after="40"/>
        <w:rPr/>
      </w:pPr>
      <w:r>
        <w:rPr>
          <w:rFonts w:eastAsia="Arial" w:cs="Arial"/>
          <w:color w:val="1A1A1A"/>
          <w:sz w:val="22"/>
          <w:szCs w:val="22"/>
        </w:rPr>
        <w:t>5.  Information Security Objectives</w:t>
      </w:r>
    </w:p>
    <w:p>
      <w:pPr>
        <w:pStyle w:val="Normal"/>
        <w:spacing w:before="40" w:after="40"/>
        <w:rPr/>
      </w:pPr>
      <w:r>
        <w:rPr>
          <w:rFonts w:eastAsia="Arial" w:cs="Arial"/>
          <w:color w:val="1A1A1A"/>
          <w:sz w:val="22"/>
          <w:szCs w:val="22"/>
        </w:rPr>
        <w:t>6.  Leadership and Commitment</w:t>
      </w:r>
    </w:p>
    <w:p>
      <w:pPr>
        <w:pStyle w:val="Normal"/>
        <w:spacing w:before="40" w:after="40"/>
        <w:rPr/>
      </w:pPr>
      <w:r>
        <w:rPr>
          <w:rFonts w:eastAsia="Arial" w:cs="Arial"/>
          <w:color w:val="1A1A1A"/>
          <w:sz w:val="22"/>
          <w:szCs w:val="22"/>
        </w:rPr>
        <w:t>7.  Roles, Responsibilities, and Authorities</w:t>
      </w:r>
    </w:p>
    <w:p>
      <w:pPr>
        <w:pStyle w:val="Normal"/>
        <w:spacing w:before="40" w:after="40"/>
        <w:rPr/>
      </w:pPr>
      <w:r>
        <w:rPr>
          <w:rFonts w:eastAsia="Arial" w:cs="Arial"/>
          <w:color w:val="1A1A1A"/>
          <w:sz w:val="22"/>
          <w:szCs w:val="22"/>
        </w:rPr>
        <w:t>8.  Risk Management Approach</w:t>
      </w:r>
    </w:p>
    <w:p>
      <w:pPr>
        <w:pStyle w:val="Normal"/>
        <w:spacing w:before="40" w:after="40"/>
        <w:rPr/>
      </w:pPr>
      <w:r>
        <w:rPr>
          <w:rFonts w:eastAsia="Arial" w:cs="Arial"/>
          <w:color w:val="1A1A1A"/>
          <w:sz w:val="22"/>
          <w:szCs w:val="22"/>
        </w:rPr>
        <w:t>9.  Information Security Control Domains</w:t>
      </w:r>
    </w:p>
    <w:p>
      <w:pPr>
        <w:pStyle w:val="Normal"/>
        <w:spacing w:before="40" w:after="40"/>
        <w:rPr/>
      </w:pPr>
      <w:r>
        <w:rPr>
          <w:rFonts w:eastAsia="Arial" w:cs="Arial"/>
          <w:color w:val="1A1A1A"/>
          <w:sz w:val="22"/>
          <w:szCs w:val="22"/>
        </w:rPr>
        <w:t xml:space="preserve">       </w:t>
      </w:r>
      <w:r>
        <w:rPr>
          <w:rFonts w:eastAsia="Arial" w:cs="Arial"/>
          <w:color w:val="1A1A1A"/>
          <w:sz w:val="22"/>
          <w:szCs w:val="22"/>
        </w:rPr>
        <w:t>9.1  Organisational Controls</w:t>
      </w:r>
    </w:p>
    <w:p>
      <w:pPr>
        <w:pStyle w:val="Normal"/>
        <w:spacing w:before="40" w:after="40"/>
        <w:rPr/>
      </w:pPr>
      <w:r>
        <w:rPr>
          <w:rFonts w:eastAsia="Arial" w:cs="Arial"/>
          <w:color w:val="1A1A1A"/>
          <w:sz w:val="22"/>
          <w:szCs w:val="22"/>
        </w:rPr>
        <w:t xml:space="preserve">       </w:t>
      </w:r>
      <w:r>
        <w:rPr>
          <w:rFonts w:eastAsia="Arial" w:cs="Arial"/>
          <w:color w:val="1A1A1A"/>
          <w:sz w:val="22"/>
          <w:szCs w:val="22"/>
        </w:rPr>
        <w:t>9.2  People Controls</w:t>
      </w:r>
    </w:p>
    <w:p>
      <w:pPr>
        <w:pStyle w:val="Normal"/>
        <w:spacing w:before="40" w:after="40"/>
        <w:rPr/>
      </w:pPr>
      <w:r>
        <w:rPr>
          <w:rFonts w:eastAsia="Arial" w:cs="Arial"/>
          <w:color w:val="1A1A1A"/>
          <w:sz w:val="22"/>
          <w:szCs w:val="22"/>
        </w:rPr>
        <w:t xml:space="preserve">       </w:t>
      </w:r>
      <w:r>
        <w:rPr>
          <w:rFonts w:eastAsia="Arial" w:cs="Arial"/>
          <w:color w:val="1A1A1A"/>
          <w:sz w:val="22"/>
          <w:szCs w:val="22"/>
        </w:rPr>
        <w:t>9.3  Physical and Environmental Controls</w:t>
      </w:r>
    </w:p>
    <w:p>
      <w:pPr>
        <w:pStyle w:val="Normal"/>
        <w:spacing w:before="40" w:after="40"/>
        <w:rPr/>
      </w:pPr>
      <w:r>
        <w:rPr>
          <w:rFonts w:eastAsia="Arial" w:cs="Arial"/>
          <w:color w:val="1A1A1A"/>
          <w:sz w:val="22"/>
          <w:szCs w:val="22"/>
        </w:rPr>
        <w:t xml:space="preserve">       </w:t>
      </w:r>
      <w:r>
        <w:rPr>
          <w:rFonts w:eastAsia="Arial" w:cs="Arial"/>
          <w:color w:val="1A1A1A"/>
          <w:sz w:val="22"/>
          <w:szCs w:val="22"/>
        </w:rPr>
        <w:t>9.4  Technological Controls</w:t>
      </w:r>
    </w:p>
    <w:p>
      <w:pPr>
        <w:pStyle w:val="Normal"/>
        <w:spacing w:before="40" w:after="40"/>
        <w:rPr/>
      </w:pPr>
      <w:r>
        <w:rPr>
          <w:rFonts w:eastAsia="Arial" w:cs="Arial"/>
          <w:color w:val="1A1A1A"/>
          <w:sz w:val="22"/>
          <w:szCs w:val="22"/>
        </w:rPr>
        <w:t>10. Incident Management and Business Continuity</w:t>
      </w:r>
    </w:p>
    <w:p>
      <w:pPr>
        <w:pStyle w:val="Normal"/>
        <w:spacing w:before="40" w:after="40"/>
        <w:rPr/>
      </w:pPr>
      <w:r>
        <w:rPr>
          <w:rFonts w:eastAsia="Arial" w:cs="Arial"/>
          <w:color w:val="1A1A1A"/>
          <w:sz w:val="22"/>
          <w:szCs w:val="22"/>
        </w:rPr>
        <w:t>11. Supplier and Third-Party Security</w:t>
      </w:r>
    </w:p>
    <w:p>
      <w:pPr>
        <w:pStyle w:val="Normal"/>
        <w:spacing w:before="40" w:after="40"/>
        <w:rPr/>
      </w:pPr>
      <w:r>
        <w:rPr>
          <w:rFonts w:eastAsia="Arial" w:cs="Arial"/>
          <w:color w:val="1A1A1A"/>
          <w:sz w:val="22"/>
          <w:szCs w:val="22"/>
        </w:rPr>
        <w:t>12. Compliance with Laws, Regulations, and Contracts</w:t>
      </w:r>
    </w:p>
    <w:p>
      <w:pPr>
        <w:pStyle w:val="Normal"/>
        <w:spacing w:before="40" w:after="40"/>
        <w:rPr/>
      </w:pPr>
      <w:r>
        <w:rPr>
          <w:rFonts w:eastAsia="Arial" w:cs="Arial"/>
          <w:color w:val="1A1A1A"/>
          <w:sz w:val="22"/>
          <w:szCs w:val="22"/>
        </w:rPr>
        <w:t>13. Awareness, Training, and Competence</w:t>
      </w:r>
    </w:p>
    <w:p>
      <w:pPr>
        <w:pStyle w:val="Normal"/>
        <w:spacing w:before="40" w:after="40"/>
        <w:rPr/>
      </w:pPr>
      <w:r>
        <w:rPr>
          <w:rFonts w:eastAsia="Arial" w:cs="Arial"/>
          <w:color w:val="1A1A1A"/>
          <w:sz w:val="22"/>
          <w:szCs w:val="22"/>
        </w:rPr>
        <w:t>14. Performance Evaluation</w:t>
      </w:r>
    </w:p>
    <w:p>
      <w:pPr>
        <w:pStyle w:val="Normal"/>
        <w:spacing w:before="40" w:after="40"/>
        <w:rPr/>
      </w:pPr>
      <w:r>
        <w:rPr>
          <w:rFonts w:eastAsia="Arial" w:cs="Arial"/>
          <w:color w:val="1A1A1A"/>
          <w:sz w:val="22"/>
          <w:szCs w:val="22"/>
        </w:rPr>
        <w:t>15. Continual Improvement</w:t>
      </w:r>
    </w:p>
    <w:p>
      <w:pPr>
        <w:pStyle w:val="Normal"/>
        <w:spacing w:before="40" w:after="40"/>
        <w:rPr/>
      </w:pPr>
      <w:r>
        <w:rPr>
          <w:rFonts w:eastAsia="Arial" w:cs="Arial"/>
          <w:color w:val="1A1A1A"/>
          <w:sz w:val="22"/>
          <w:szCs w:val="22"/>
        </w:rPr>
        <w:t>16. Policy Framework and Supporting Documents</w:t>
      </w:r>
    </w:p>
    <w:p>
      <w:pPr>
        <w:pStyle w:val="Normal"/>
        <w:spacing w:before="40" w:after="40"/>
        <w:rPr/>
      </w:pPr>
      <w:r>
        <w:rPr>
          <w:rFonts w:eastAsia="Arial" w:cs="Arial"/>
          <w:color w:val="1A1A1A"/>
          <w:sz w:val="22"/>
          <w:szCs w:val="22"/>
        </w:rPr>
        <w:t>17. Review and Maintenance</w:t>
      </w:r>
    </w:p>
    <w:p>
      <w:pPr>
        <w:pStyle w:val="Normal"/>
        <w:spacing w:before="40" w:after="40"/>
        <w:rPr/>
      </w:pPr>
      <w:r>
        <w:rPr>
          <w:rFonts w:eastAsia="Arial" w:cs="Arial"/>
          <w:color w:val="1A1A1A"/>
          <w:sz w:val="22"/>
          <w:szCs w:val="22"/>
        </w:rPr>
        <w:t>18. Acknowledgement</w:t>
      </w:r>
    </w:p>
    <w:p>
      <w:pPr>
        <w:pStyle w:val="Normal"/>
        <w:spacing w:before="40" w:after="40"/>
        <w:rPr/>
      </w:pPr>
      <w:r>
        <w:rPr>
          <w:rFonts w:eastAsia="Arial" w:cs="Arial"/>
          <w:color w:val="1A1A1A"/>
          <w:sz w:val="22"/>
          <w:szCs w:val="22"/>
        </w:rPr>
        <w:t>Annex A — Mapping to ISO/IEC 27001:2022</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Information Security Policy (the “Policy”) establishes Cloudax Ltd.’s (“Cloudax”, “the Company”) overall approach to information security. It sets the framework within which the Cloudax Information Security Management System (ISMS) operates, in accordance with the requirements of ISO/IEC 27001:2022.</w:t>
      </w:r>
    </w:p>
    <w:p>
      <w:pPr>
        <w:pStyle w:val="Normal"/>
        <w:spacing w:lineRule="exact" w:line="300" w:before="80" w:after="120"/>
        <w:rPr/>
      </w:pPr>
      <w:r>
        <w:rPr>
          <w:rFonts w:eastAsia="Arial" w:cs="Arial"/>
          <w:color w:val="1A1A1A"/>
          <w:sz w:val="22"/>
          <w:szCs w:val="22"/>
        </w:rPr>
        <w:t>The Policy exists to:</w:t>
      </w:r>
    </w:p>
    <w:p>
      <w:pPr>
        <w:pStyle w:val="ListParagraph"/>
        <w:numPr>
          <w:ilvl w:val="0"/>
          <w:numId w:val="3"/>
        </w:numPr>
        <w:spacing w:lineRule="exact" w:line="280" w:before="40" w:after="40"/>
        <w:rPr/>
      </w:pPr>
      <w:r>
        <w:rPr>
          <w:rFonts w:eastAsia="Arial" w:cs="Arial"/>
          <w:color w:val="1A1A1A"/>
          <w:sz w:val="22"/>
          <w:szCs w:val="22"/>
        </w:rPr>
        <w:t>Protect the confidentiality, integrity, and availability of information entrusted to, or created by, Cloudax.</w:t>
      </w:r>
    </w:p>
    <w:p>
      <w:pPr>
        <w:pStyle w:val="ListParagraph"/>
        <w:numPr>
          <w:ilvl w:val="0"/>
          <w:numId w:val="1"/>
        </w:numPr>
        <w:spacing w:lineRule="exact" w:line="280" w:before="40" w:after="40"/>
        <w:rPr/>
      </w:pPr>
      <w:r>
        <w:rPr>
          <w:rFonts w:eastAsia="Arial" w:cs="Arial"/>
          <w:color w:val="1A1A1A"/>
          <w:sz w:val="22"/>
          <w:szCs w:val="22"/>
        </w:rPr>
        <w:t>Protect Cloudax, its customers, its employees, its suppliers, and its partners from information security risks.</w:t>
      </w:r>
    </w:p>
    <w:p>
      <w:pPr>
        <w:pStyle w:val="ListParagraph"/>
        <w:numPr>
          <w:ilvl w:val="0"/>
          <w:numId w:val="1"/>
        </w:numPr>
        <w:spacing w:lineRule="exact" w:line="280" w:before="40" w:after="40"/>
        <w:rPr/>
      </w:pPr>
      <w:r>
        <w:rPr>
          <w:rFonts w:eastAsia="Arial" w:cs="Arial"/>
          <w:color w:val="1A1A1A"/>
          <w:sz w:val="22"/>
          <w:szCs w:val="22"/>
        </w:rPr>
        <w:t>Ensure that Cloudax complies with legal, regulatory, and contractual obligations relating to information security and data protection.</w:t>
      </w:r>
    </w:p>
    <w:p>
      <w:pPr>
        <w:pStyle w:val="ListParagraph"/>
        <w:numPr>
          <w:ilvl w:val="0"/>
          <w:numId w:val="1"/>
        </w:numPr>
        <w:spacing w:lineRule="exact" w:line="280" w:before="40" w:after="40"/>
        <w:rPr/>
      </w:pPr>
      <w:r>
        <w:rPr>
          <w:rFonts w:eastAsia="Arial" w:cs="Arial"/>
          <w:color w:val="1A1A1A"/>
          <w:sz w:val="22"/>
          <w:szCs w:val="22"/>
        </w:rPr>
        <w:t>Provide a stable and auditable framework for the ISMS and for all supporting policies, procedures, and controls.</w:t>
      </w:r>
    </w:p>
    <w:p>
      <w:pPr>
        <w:pStyle w:val="ListParagraph"/>
        <w:numPr>
          <w:ilvl w:val="0"/>
          <w:numId w:val="1"/>
        </w:numPr>
        <w:spacing w:lineRule="exact" w:line="280" w:before="40" w:after="40"/>
        <w:rPr/>
      </w:pPr>
      <w:r>
        <w:rPr>
          <w:rFonts w:eastAsia="Arial" w:cs="Arial"/>
          <w:color w:val="1A1A1A"/>
          <w:sz w:val="22"/>
          <w:szCs w:val="22"/>
        </w:rPr>
        <w:t>Enable Cloudax to demonstrate its commitment to information security to customers, partners, regulators, and certification bodies.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5.2 Policy; A.5.1 Policies for information security</w:t>
      </w:r>
    </w:p>
    <w:p>
      <w:pPr>
        <w:pStyle w:val="Heading1"/>
        <w:spacing w:before="360" w:after="180"/>
        <w:rPr/>
      </w:pPr>
      <w:r>
        <w:rPr>
          <w:rFonts w:eastAsia="Arial" w:cs="Arial" w:ascii="Arial" w:hAnsi="Arial"/>
          <w:b/>
          <w:bCs/>
          <w:color w:val="0000FF"/>
          <w:sz w:val="36"/>
          <w:szCs w:val="36"/>
        </w:rPr>
        <w:t>2. Scope of the ISMS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Cloudax ISMS covers the provision of the Cloudax conversational AI platform and associated services to customers, together with the supporting corporate functions that underpin this delivery.</w:t>
      </w:r>
    </w:p>
    <w:p>
      <w:pPr>
        <w:pStyle w:val="Normal"/>
        <w:spacing w:lineRule="exact" w:line="300" w:before="80" w:after="120"/>
        <w:rPr/>
      </w:pPr>
      <w:r>
        <w:rPr>
          <w:rFonts w:eastAsia="Arial" w:cs="Arial"/>
          <w:color w:val="1A1A1A"/>
          <w:sz w:val="22"/>
          <w:szCs w:val="22"/>
        </w:rPr>
        <w:t>The ISMS applies to:</w:t>
      </w:r>
    </w:p>
    <w:p>
      <w:pPr>
        <w:pStyle w:val="ListParagraph"/>
        <w:numPr>
          <w:ilvl w:val="0"/>
          <w:numId w:val="1"/>
        </w:numPr>
        <w:spacing w:lineRule="exact" w:line="280" w:before="40" w:after="40"/>
        <w:rPr/>
      </w:pPr>
      <w:r>
        <w:rPr>
          <w:rFonts w:eastAsia="Arial" w:cs="Arial"/>
          <w:color w:val="1A1A1A"/>
          <w:sz w:val="22"/>
          <w:szCs w:val="22"/>
        </w:rPr>
        <w:t>All information in any form, electronic or physical, created, received, held, or processed by Cloudax.</w:t>
      </w:r>
    </w:p>
    <w:p>
      <w:pPr>
        <w:pStyle w:val="ListParagraph"/>
        <w:numPr>
          <w:ilvl w:val="0"/>
          <w:numId w:val="1"/>
        </w:numPr>
        <w:spacing w:lineRule="exact" w:line="280" w:before="40" w:after="40"/>
        <w:rPr/>
      </w:pPr>
      <w:r>
        <w:rPr>
          <w:rFonts w:eastAsia="Arial" w:cs="Arial"/>
          <w:color w:val="1A1A1A"/>
          <w:sz w:val="22"/>
          <w:szCs w:val="22"/>
        </w:rPr>
        <w:t>All information processing facilities used to deliver Cloudax services, including cloud tenancies, production and non-production environments, development and build pipelines, and supporting infrastructure.</w:t>
      </w:r>
    </w:p>
    <w:p>
      <w:pPr>
        <w:pStyle w:val="ListParagraph"/>
        <w:numPr>
          <w:ilvl w:val="0"/>
          <w:numId w:val="1"/>
        </w:numPr>
        <w:spacing w:lineRule="exact" w:line="280" w:before="40" w:after="40"/>
        <w:rPr/>
      </w:pPr>
      <w:r>
        <w:rPr>
          <w:rFonts w:eastAsia="Arial" w:cs="Arial"/>
          <w:color w:val="1A1A1A"/>
          <w:sz w:val="22"/>
          <w:szCs w:val="22"/>
        </w:rPr>
        <w:t>All Cloudax-issued endpoints and mobile devices, and any personal devices authorised for use under the Acceptable Use Policy.</w:t>
      </w:r>
    </w:p>
    <w:p>
      <w:pPr>
        <w:pStyle w:val="ListParagraph"/>
        <w:numPr>
          <w:ilvl w:val="0"/>
          <w:numId w:val="1"/>
        </w:numPr>
        <w:spacing w:lineRule="exact" w:line="280" w:before="40" w:after="40"/>
        <w:rPr/>
      </w:pPr>
      <w:r>
        <w:rPr>
          <w:rFonts w:eastAsia="Arial" w:cs="Arial"/>
          <w:color w:val="1A1A1A"/>
          <w:sz w:val="22"/>
          <w:szCs w:val="22"/>
        </w:rPr>
        <w:t>All Cloudax premises and working locations, including the shared workspace in Manchester and any remote or temporary working locations.</w:t>
      </w:r>
    </w:p>
    <w:p>
      <w:pPr>
        <w:pStyle w:val="ListParagraph"/>
        <w:numPr>
          <w:ilvl w:val="0"/>
          <w:numId w:val="1"/>
        </w:numPr>
        <w:spacing w:lineRule="exact" w:line="280" w:before="40" w:after="40"/>
        <w:rPr/>
      </w:pPr>
      <w:r>
        <w:rPr>
          <w:rFonts w:eastAsia="Arial" w:cs="Arial"/>
          <w:color w:val="1A1A1A"/>
          <w:sz w:val="22"/>
          <w:szCs w:val="22"/>
        </w:rPr>
        <w:t>All personnel engaged by Cloudax — employees, directors, contractors, consultants, interns, and agency workers — currently a team of six employees based in Manchester.</w:t>
      </w:r>
    </w:p>
    <w:p>
      <w:pPr>
        <w:pStyle w:val="ListParagraph"/>
        <w:numPr>
          <w:ilvl w:val="0"/>
          <w:numId w:val="1"/>
        </w:numPr>
        <w:spacing w:lineRule="exact" w:line="280" w:before="40" w:after="40"/>
        <w:rPr/>
      </w:pPr>
      <w:r>
        <w:rPr>
          <w:rFonts w:eastAsia="Arial" w:cs="Arial"/>
          <w:color w:val="1A1A1A"/>
          <w:sz w:val="22"/>
          <w:szCs w:val="22"/>
        </w:rPr>
        <w:t>All suppliers, partners, and other third parties where they access Cloudax information, systems, or facilities.</w:t>
      </w:r>
    </w:p>
    <w:p>
      <w:pPr>
        <w:pStyle w:val="Normal"/>
        <w:spacing w:lineRule="exact" w:line="300" w:before="80" w:after="120"/>
        <w:rPr/>
      </w:pPr>
      <w:r>
        <w:rPr>
          <w:rFonts w:eastAsia="Arial" w:cs="Arial"/>
          <w:color w:val="1A1A1A"/>
          <w:sz w:val="22"/>
          <w:szCs w:val="22"/>
        </w:rPr>
        <w:t>The boundaries and interfaces of the ISMS, including interfaces with customer environments and third-party service providers, are described in the ISMS Scope Statement (ISMS-SCP-001) and maintained as part of the ISMS documented information.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4.3 Determining the scope of the ISMS; Clause 4.4 ISMS; A.5.9 Inventory of assets</w:t>
      </w:r>
    </w:p>
    <w:p>
      <w:pPr>
        <w:pStyle w:val="Heading1"/>
        <w:spacing w:before="360" w:after="180"/>
        <w:rPr/>
      </w:pPr>
      <w:r>
        <w:rPr>
          <w:rFonts w:eastAsia="Arial" w:cs="Arial" w:ascii="Arial" w:hAnsi="Arial"/>
          <w:b/>
          <w:bCs/>
          <w:color w:val="0000FF"/>
          <w:sz w:val="36"/>
          <w:szCs w:val="36"/>
        </w:rPr>
        <w:t>3. Context, Interested Parties, and Applicable Requirements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in the conversational AI market, providing services that typically process voice, text, and metadata on behalf of customers. The external context for information security includes the UK legal and regulatory environment, the data protection expectations of customers and their end users, the evolving threat landscape against cloud-based and AI-based services, and the contractual obligations attached to serving enterprise customers.</w:t>
      </w:r>
    </w:p>
    <w:p>
      <w:pPr>
        <w:pStyle w:val="Normal"/>
        <w:spacing w:lineRule="exact" w:line="300" w:before="80" w:after="120"/>
        <w:rPr/>
      </w:pPr>
      <w:r>
        <w:rPr>
          <w:rFonts w:eastAsia="Arial" w:cs="Arial"/>
          <w:color w:val="1A1A1A"/>
          <w:sz w:val="22"/>
          <w:szCs w:val="22"/>
        </w:rPr>
        <w:t>The internal context includes Cloudax’s size, its hybrid working model, its use of cloud and SaaS services, and its product development lifecycle. Cloudax maintains a small, highly-skilled team and relies on automation, managed services, and strong supplier relationships to deliver secure services at scale.</w:t>
      </w:r>
    </w:p>
    <w:p>
      <w:pPr>
        <w:pStyle w:val="Normal"/>
        <w:spacing w:lineRule="exact" w:line="300" w:before="80" w:after="120"/>
        <w:rPr/>
      </w:pPr>
      <w:r>
        <w:rPr>
          <w:rFonts w:eastAsia="Arial" w:cs="Arial"/>
          <w:color w:val="1A1A1A"/>
          <w:sz w:val="22"/>
          <w:szCs w:val="22"/>
        </w:rPr>
        <w:t>Cloudax has identified the following principal categories of interested party and their information security needs and expectations:</w:t>
      </w:r>
    </w:p>
    <w:p>
      <w:pPr>
        <w:pStyle w:val="ListParagraph"/>
        <w:numPr>
          <w:ilvl w:val="0"/>
          <w:numId w:val="1"/>
        </w:numPr>
        <w:spacing w:lineRule="exact" w:line="280" w:before="40" w:after="40"/>
        <w:rPr/>
      </w:pPr>
      <w:r>
        <w:rPr>
          <w:rFonts w:eastAsia="Arial" w:cs="Arial"/>
          <w:b/>
          <w:bCs/>
          <w:color w:val="1A1A1A"/>
          <w:sz w:val="22"/>
          <w:szCs w:val="22"/>
        </w:rPr>
        <w:t xml:space="preserve">Customers: </w:t>
      </w:r>
      <w:r>
        <w:rPr>
          <w:rFonts w:eastAsia="Arial" w:cs="Arial"/>
          <w:color w:val="1A1A1A"/>
          <w:sz w:val="22"/>
          <w:szCs w:val="22"/>
        </w:rPr>
        <w:t>confidentiality of voice and data, platform availability, timely incident notification, demonstrable compliance, contractual assurances.</w:t>
      </w:r>
    </w:p>
    <w:p>
      <w:pPr>
        <w:pStyle w:val="ListParagraph"/>
        <w:numPr>
          <w:ilvl w:val="0"/>
          <w:numId w:val="1"/>
        </w:numPr>
        <w:spacing w:lineRule="exact" w:line="280" w:before="40" w:after="40"/>
        <w:rPr/>
      </w:pPr>
      <w:r>
        <w:rPr>
          <w:rFonts w:eastAsia="Arial" w:cs="Arial"/>
          <w:b/>
          <w:bCs/>
          <w:color w:val="1A1A1A"/>
          <w:sz w:val="22"/>
          <w:szCs w:val="22"/>
        </w:rPr>
        <w:t xml:space="preserve">End users of customer services: </w:t>
      </w:r>
      <w:r>
        <w:rPr>
          <w:rFonts w:eastAsia="Arial" w:cs="Arial"/>
          <w:color w:val="1A1A1A"/>
          <w:sz w:val="22"/>
          <w:szCs w:val="22"/>
        </w:rPr>
        <w:t>privacy, transparency, and protection of personal data processed via Cloudax.</w:t>
      </w:r>
    </w:p>
    <w:p>
      <w:pPr>
        <w:pStyle w:val="ListParagraph"/>
        <w:numPr>
          <w:ilvl w:val="0"/>
          <w:numId w:val="1"/>
        </w:numPr>
        <w:spacing w:lineRule="exact" w:line="280" w:before="40" w:after="40"/>
        <w:rPr/>
      </w:pPr>
      <w:r>
        <w:rPr>
          <w:rFonts w:eastAsia="Arial" w:cs="Arial"/>
          <w:b/>
          <w:bCs/>
          <w:color w:val="1A1A1A"/>
          <w:sz w:val="22"/>
          <w:szCs w:val="22"/>
        </w:rPr>
        <w:t xml:space="preserve">Employees and contractors: </w:t>
      </w:r>
      <w:r>
        <w:rPr>
          <w:rFonts w:eastAsia="Arial" w:cs="Arial"/>
          <w:color w:val="1A1A1A"/>
          <w:sz w:val="22"/>
          <w:szCs w:val="22"/>
        </w:rPr>
        <w:t>a secure working environment, clear responsibilities, and protection of personal data held about them.</w:t>
      </w:r>
    </w:p>
    <w:p>
      <w:pPr>
        <w:pStyle w:val="ListParagraph"/>
        <w:numPr>
          <w:ilvl w:val="0"/>
          <w:numId w:val="1"/>
        </w:numPr>
        <w:spacing w:lineRule="exact" w:line="280" w:before="40" w:after="40"/>
        <w:rPr/>
      </w:pPr>
      <w:r>
        <w:rPr>
          <w:rFonts w:eastAsia="Arial" w:cs="Arial"/>
          <w:b/>
          <w:bCs/>
          <w:color w:val="1A1A1A"/>
          <w:sz w:val="22"/>
          <w:szCs w:val="22"/>
        </w:rPr>
        <w:t xml:space="preserve">Suppliers and partners: </w:t>
      </w:r>
      <w:r>
        <w:rPr>
          <w:rFonts w:eastAsia="Arial" w:cs="Arial"/>
          <w:color w:val="1A1A1A"/>
          <w:sz w:val="22"/>
          <w:szCs w:val="22"/>
        </w:rPr>
        <w:t>clear security requirements and fair handling of shared information.</w:t>
      </w:r>
    </w:p>
    <w:p>
      <w:pPr>
        <w:pStyle w:val="ListParagraph"/>
        <w:numPr>
          <w:ilvl w:val="0"/>
          <w:numId w:val="1"/>
        </w:numPr>
        <w:spacing w:lineRule="exact" w:line="280" w:before="40" w:after="40"/>
        <w:rPr/>
      </w:pPr>
      <w:r>
        <w:rPr>
          <w:rFonts w:eastAsia="Arial" w:cs="Arial"/>
          <w:b/>
          <w:bCs/>
          <w:color w:val="1A1A1A"/>
          <w:sz w:val="22"/>
          <w:szCs w:val="22"/>
        </w:rPr>
        <w:t xml:space="preserve">Regulators and authorities: </w:t>
      </w:r>
      <w:r>
        <w:rPr>
          <w:rFonts w:eastAsia="Arial" w:cs="Arial"/>
          <w:color w:val="1A1A1A"/>
          <w:sz w:val="22"/>
          <w:szCs w:val="22"/>
        </w:rPr>
        <w:t>compliance with applicable law, including the UK GDPR and the Data Protection Act 2018, and timely cooperation where required.</w:t>
      </w:r>
    </w:p>
    <w:p>
      <w:pPr>
        <w:pStyle w:val="ListParagraph"/>
        <w:numPr>
          <w:ilvl w:val="0"/>
          <w:numId w:val="1"/>
        </w:numPr>
        <w:spacing w:lineRule="exact" w:line="280" w:before="40" w:after="40"/>
        <w:rPr/>
      </w:pPr>
      <w:r>
        <w:rPr>
          <w:rFonts w:eastAsia="Arial" w:cs="Arial"/>
          <w:b/>
          <w:bCs/>
          <w:color w:val="1A1A1A"/>
          <w:sz w:val="22"/>
          <w:szCs w:val="22"/>
        </w:rPr>
        <w:t xml:space="preserve">Investors and the Board: </w:t>
      </w:r>
      <w:r>
        <w:rPr>
          <w:rFonts w:eastAsia="Arial" w:cs="Arial"/>
          <w:color w:val="1A1A1A"/>
          <w:sz w:val="22"/>
          <w:szCs w:val="22"/>
        </w:rPr>
        <w:t>proportionate management of information security risk in support of the Company’s objectives.</w:t>
      </w:r>
    </w:p>
    <w:p>
      <w:pPr>
        <w:pStyle w:val="ListParagraph"/>
        <w:numPr>
          <w:ilvl w:val="0"/>
          <w:numId w:val="1"/>
        </w:numPr>
        <w:spacing w:lineRule="exact" w:line="280" w:before="40" w:after="40"/>
        <w:rPr/>
      </w:pPr>
      <w:r>
        <w:rPr>
          <w:rFonts w:eastAsia="Arial" w:cs="Arial"/>
          <w:b/>
          <w:bCs/>
          <w:color w:val="1A1A1A"/>
          <w:sz w:val="22"/>
          <w:szCs w:val="22"/>
        </w:rPr>
        <w:t xml:space="preserve">Certification bodies: </w:t>
      </w:r>
      <w:r>
        <w:rPr>
          <w:rFonts w:eastAsia="Arial" w:cs="Arial"/>
          <w:color w:val="1A1A1A"/>
          <w:sz w:val="22"/>
          <w:szCs w:val="22"/>
        </w:rPr>
        <w:t>a conforming ISMS capable of supporting certification to ISO/IEC 27001:2022.</w:t>
      </w:r>
    </w:p>
    <w:p>
      <w:pPr>
        <w:pStyle w:val="Normal"/>
        <w:spacing w:lineRule="exact" w:line="300" w:before="80" w:after="120"/>
        <w:rPr/>
      </w:pPr>
      <w:r>
        <w:rPr>
          <w:rFonts w:eastAsia="Arial" w:cs="Arial"/>
          <w:color w:val="1A1A1A"/>
          <w:sz w:val="22"/>
          <w:szCs w:val="22"/>
        </w:rPr>
        <w:t>The complete register of interested parties and their requirements is maintained in the Context and Interested Parties Register (ISMS-REG-001) and reviewed as part of management review.</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4.1 Understanding the organization and its context; Clause 4.2 Understanding the needs and expectations of interested parties</w:t>
      </w:r>
    </w:p>
    <w:p>
      <w:pPr>
        <w:pStyle w:val="Heading1"/>
        <w:spacing w:before="360" w:after="180"/>
        <w:rPr/>
      </w:pPr>
      <w:r>
        <w:rPr>
          <w:rFonts w:eastAsia="Arial" w:cs="Arial" w:ascii="Arial" w:hAnsi="Arial"/>
          <w:b/>
          <w:bCs/>
          <w:color w:val="0000FF"/>
          <w:sz w:val="36"/>
          <w:szCs w:val="36"/>
        </w:rPr>
        <w:t>4. Definitions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Unless stated otherwise, terms used in this Policy have the meanings given in ISO/IEC 27000, ISO/IEC 27001:2022, and Cloudax’s ISMS glossary. Key terms used throughout this Policy include:</w:t>
      </w:r>
    </w:p>
    <w:tbl>
      <w:tblPr>
        <w:tblW w:w="9026" w:type="dxa"/>
        <w:jc w:val="start"/>
        <w:tblInd w:w="0" w:type="dxa"/>
        <w:tblLayout w:type="fixed"/>
        <w:tblCellMar>
          <w:top w:w="120" w:type="dxa"/>
          <w:start w:w="160" w:type="dxa"/>
          <w:bottom w:w="120" w:type="dxa"/>
          <w:end w:w="160" w:type="dxa"/>
        </w:tblCellMar>
      </w:tblPr>
      <w:tblGrid>
        <w:gridCol w:w="2400"/>
        <w:gridCol w:w="6625"/>
      </w:tblGrid>
      <w:tr>
        <w:trPr>
          <w:tblHeader w:val="true"/>
        </w:trPr>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20"/>
                <w:szCs w:val="20"/>
              </w:rPr>
              <w:t>TERM</w:t>
            </w:r>
          </w:p>
        </w:tc>
        <w:tc>
          <w:tcPr>
            <w:tcW w:w="66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20"/>
                <w:szCs w:val="20"/>
              </w:rPr>
              <w:t>DEFINITION</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Information Security</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Preservation of confidentiality, integrity, and availability of information, and of other properties such as authenticity, accountability, non-repudiation, and reliability.</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ISMS</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The Cloudax Information Security Management System, established, implemented, maintained, and continually improved in accordance with ISO/IEC 27001:2022.</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SoA</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Statement of Applicability. The document that lists the Annex A controls Cloudax applies and justifies any exclusions.</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Risk</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The effect of uncertainty on objectives.</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Control</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 measure that modifies or maintains risk, including policies, procedures, practices, and organisational structures.</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Asset</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Anything that has value to Cloudax, including information, systems, devices, software, facilities, and people.</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Personal Data</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As defined in the UK GDPR and the Data Protection Act 2018.</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Event</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An identified occurrence that may indicate a possible information security policy breach or failure of controls.</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Incident</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 single or series of unwanted or unexpected information security events with a significant probability of compromising business operations or threatening information security.</w:t>
            </w:r>
          </w:p>
        </w:tc>
      </w:tr>
    </w:tbl>
    <w:p>
      <w:pPr>
        <w:pStyle w:val="Heading1"/>
        <w:spacing w:before="360" w:after="180"/>
        <w:rPr/>
      </w:pPr>
      <w:r>
        <w:rPr>
          <w:rFonts w:eastAsia="Arial" w:cs="Arial" w:ascii="Arial" w:hAnsi="Arial"/>
          <w:b/>
          <w:bCs/>
          <w:color w:val="0000FF"/>
          <w:sz w:val="36"/>
          <w:szCs w:val="36"/>
        </w:rPr>
        <w:t>5. Information Security Objectives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establishes, documents, and reviews measurable information security objectives, consistent with this Policy, the ISMS scope, and the outcome of risk assessment. Standing objectives include:</w:t>
      </w:r>
    </w:p>
    <w:p>
      <w:pPr>
        <w:pStyle w:val="ListParagraph"/>
        <w:numPr>
          <w:ilvl w:val="0"/>
          <w:numId w:val="1"/>
        </w:numPr>
        <w:spacing w:lineRule="exact" w:line="280" w:before="40" w:after="40"/>
        <w:rPr/>
      </w:pPr>
      <w:r>
        <w:rPr>
          <w:rFonts w:eastAsia="Arial" w:cs="Arial"/>
          <w:color w:val="1A1A1A"/>
          <w:sz w:val="22"/>
          <w:szCs w:val="22"/>
        </w:rPr>
        <w:t>Protect the confidentiality, integrity, and availability of customer information and Cloudax information assets.</w:t>
      </w:r>
    </w:p>
    <w:p>
      <w:pPr>
        <w:pStyle w:val="ListParagraph"/>
        <w:numPr>
          <w:ilvl w:val="0"/>
          <w:numId w:val="1"/>
        </w:numPr>
        <w:spacing w:lineRule="exact" w:line="280" w:before="40" w:after="40"/>
        <w:rPr/>
      </w:pPr>
      <w:r>
        <w:rPr>
          <w:rFonts w:eastAsia="Arial" w:cs="Arial"/>
          <w:color w:val="1A1A1A"/>
          <w:sz w:val="22"/>
          <w:szCs w:val="22"/>
        </w:rPr>
        <w:t>Maintain certification to ISO/IEC 27001:2022 and alignment with other standards and frameworks as determined by the business.</w:t>
      </w:r>
    </w:p>
    <w:p>
      <w:pPr>
        <w:pStyle w:val="ListParagraph"/>
        <w:numPr>
          <w:ilvl w:val="0"/>
          <w:numId w:val="1"/>
        </w:numPr>
        <w:spacing w:lineRule="exact" w:line="280" w:before="40" w:after="40"/>
        <w:rPr/>
      </w:pPr>
      <w:r>
        <w:rPr>
          <w:rFonts w:eastAsia="Arial" w:cs="Arial"/>
          <w:color w:val="1A1A1A"/>
          <w:sz w:val="22"/>
          <w:szCs w:val="22"/>
        </w:rPr>
        <w:t>Comply with applicable legal, regulatory, and contractual requirements, including UK data protection law.</w:t>
      </w:r>
    </w:p>
    <w:p>
      <w:pPr>
        <w:pStyle w:val="ListParagraph"/>
        <w:numPr>
          <w:ilvl w:val="0"/>
          <w:numId w:val="1"/>
        </w:numPr>
        <w:spacing w:lineRule="exact" w:line="280" w:before="40" w:after="40"/>
        <w:rPr/>
      </w:pPr>
      <w:r>
        <w:rPr>
          <w:rFonts w:eastAsia="Arial" w:cs="Arial"/>
          <w:color w:val="1A1A1A"/>
          <w:sz w:val="22"/>
          <w:szCs w:val="22"/>
        </w:rPr>
        <w:t>Ensure that information security risks are identified, assessed, and managed in accordance with the Risk Management Procedure.</w:t>
      </w:r>
    </w:p>
    <w:p>
      <w:pPr>
        <w:pStyle w:val="ListParagraph"/>
        <w:numPr>
          <w:ilvl w:val="0"/>
          <w:numId w:val="1"/>
        </w:numPr>
        <w:spacing w:lineRule="exact" w:line="280" w:before="40" w:after="40"/>
        <w:rPr/>
      </w:pPr>
      <w:r>
        <w:rPr>
          <w:rFonts w:eastAsia="Arial" w:cs="Arial"/>
          <w:color w:val="1A1A1A"/>
          <w:sz w:val="22"/>
          <w:szCs w:val="22"/>
        </w:rPr>
        <w:t>Ensure that all personnel understand their information security responsibilities and have the competence to fulfil them.</w:t>
      </w:r>
    </w:p>
    <w:p>
      <w:pPr>
        <w:pStyle w:val="ListParagraph"/>
        <w:numPr>
          <w:ilvl w:val="0"/>
          <w:numId w:val="1"/>
        </w:numPr>
        <w:spacing w:lineRule="exact" w:line="280" w:before="40" w:after="40"/>
        <w:rPr/>
      </w:pPr>
      <w:r>
        <w:rPr>
          <w:rFonts w:eastAsia="Arial" w:cs="Arial"/>
          <w:color w:val="1A1A1A"/>
          <w:sz w:val="22"/>
          <w:szCs w:val="22"/>
        </w:rPr>
        <w:t>Detect, respond to, and learn from information security events and incidents in a timely and proportionate manner.</w:t>
      </w:r>
    </w:p>
    <w:p>
      <w:pPr>
        <w:pStyle w:val="ListParagraph"/>
        <w:numPr>
          <w:ilvl w:val="0"/>
          <w:numId w:val="1"/>
        </w:numPr>
        <w:spacing w:lineRule="exact" w:line="280" w:before="40" w:after="40"/>
        <w:rPr/>
      </w:pPr>
      <w:r>
        <w:rPr>
          <w:rFonts w:eastAsia="Arial" w:cs="Arial"/>
          <w:color w:val="1A1A1A"/>
          <w:sz w:val="22"/>
          <w:szCs w:val="22"/>
        </w:rPr>
        <w:t>Continually improve the effectiveness of the ISMS and the controls within it.</w:t>
      </w:r>
    </w:p>
    <w:p>
      <w:pPr>
        <w:pStyle w:val="Normal"/>
        <w:spacing w:lineRule="exact" w:line="300" w:before="80" w:after="120"/>
        <w:rPr/>
      </w:pPr>
      <w:r>
        <w:rPr>
          <w:rFonts w:eastAsia="Arial" w:cs="Arial"/>
          <w:color w:val="1A1A1A"/>
          <w:sz w:val="22"/>
          <w:szCs w:val="22"/>
        </w:rPr>
        <w:t>Specific, time-bound objectives and associated key performance indicators (KPIs) are set at least annually and tracked as part of management review. The current set of objectives and KPIs is maintained in the Information Security Objectives Register (ISMS-REG-002).</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6.2 Information security objectives and planning to achieve them; Clause 9.1 Monitoring, measurement, analysis and evaluation; Clause 9.3 Management review</w:t>
      </w:r>
    </w:p>
    <w:p>
      <w:pPr>
        <w:pStyle w:val="Heading1"/>
        <w:spacing w:before="360" w:after="180"/>
        <w:rPr/>
      </w:pPr>
      <w:r>
        <w:rPr>
          <w:rFonts w:eastAsia="Arial" w:cs="Arial" w:ascii="Arial" w:hAnsi="Arial"/>
          <w:b/>
          <w:bCs/>
          <w:color w:val="0000FF"/>
          <w:sz w:val="36"/>
          <w:szCs w:val="36"/>
        </w:rPr>
        <w:t>6. Leadership and Commitment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leadership, led by the Managing Director, demonstrates leadership and commitment to the ISMS by:</w:t>
      </w:r>
    </w:p>
    <w:p>
      <w:pPr>
        <w:pStyle w:val="ListParagraph"/>
        <w:numPr>
          <w:ilvl w:val="0"/>
          <w:numId w:val="1"/>
        </w:numPr>
        <w:spacing w:lineRule="exact" w:line="280" w:before="40" w:after="40"/>
        <w:rPr/>
      </w:pPr>
      <w:r>
        <w:rPr>
          <w:rFonts w:eastAsia="Arial" w:cs="Arial"/>
          <w:color w:val="1A1A1A"/>
          <w:sz w:val="22"/>
          <w:szCs w:val="22"/>
        </w:rPr>
        <w:t>Ensuring that this Policy and the information security objectives are established, compatible with the strategic direction of Cloudax, and communicated to all personnel.</w:t>
      </w:r>
    </w:p>
    <w:p>
      <w:pPr>
        <w:pStyle w:val="ListParagraph"/>
        <w:numPr>
          <w:ilvl w:val="0"/>
          <w:numId w:val="1"/>
        </w:numPr>
        <w:spacing w:lineRule="exact" w:line="280" w:before="40" w:after="40"/>
        <w:rPr/>
      </w:pPr>
      <w:r>
        <w:rPr>
          <w:rFonts w:eastAsia="Arial" w:cs="Arial"/>
          <w:color w:val="1A1A1A"/>
          <w:sz w:val="22"/>
          <w:szCs w:val="22"/>
        </w:rPr>
        <w:t>Ensuring the integration of ISMS requirements into Cloudax’s business processes.</w:t>
      </w:r>
    </w:p>
    <w:p>
      <w:pPr>
        <w:pStyle w:val="ListParagraph"/>
        <w:numPr>
          <w:ilvl w:val="0"/>
          <w:numId w:val="1"/>
        </w:numPr>
        <w:spacing w:lineRule="exact" w:line="280" w:before="40" w:after="40"/>
        <w:rPr/>
      </w:pPr>
      <w:r>
        <w:rPr>
          <w:rFonts w:eastAsia="Arial" w:cs="Arial"/>
          <w:color w:val="1A1A1A"/>
          <w:sz w:val="22"/>
          <w:szCs w:val="22"/>
        </w:rPr>
        <w:t>Ensuring that the resources needed for the ISMS are available and that accountabilities are clearly assigned.</w:t>
      </w:r>
    </w:p>
    <w:p>
      <w:pPr>
        <w:pStyle w:val="ListParagraph"/>
        <w:numPr>
          <w:ilvl w:val="0"/>
          <w:numId w:val="1"/>
        </w:numPr>
        <w:spacing w:lineRule="exact" w:line="280" w:before="40" w:after="40"/>
        <w:rPr/>
      </w:pPr>
      <w:r>
        <w:rPr>
          <w:rFonts w:eastAsia="Arial" w:cs="Arial"/>
          <w:color w:val="1A1A1A"/>
          <w:sz w:val="22"/>
          <w:szCs w:val="22"/>
        </w:rPr>
        <w:t>Communicating the importance of effective information security management and conformance to the ISMS.</w:t>
      </w:r>
    </w:p>
    <w:p>
      <w:pPr>
        <w:pStyle w:val="ListParagraph"/>
        <w:numPr>
          <w:ilvl w:val="0"/>
          <w:numId w:val="1"/>
        </w:numPr>
        <w:spacing w:lineRule="exact" w:line="280" w:before="40" w:after="40"/>
        <w:rPr/>
      </w:pPr>
      <w:r>
        <w:rPr>
          <w:rFonts w:eastAsia="Arial" w:cs="Arial"/>
          <w:color w:val="1A1A1A"/>
          <w:sz w:val="22"/>
          <w:szCs w:val="22"/>
        </w:rPr>
        <w:t>Ensuring that the ISMS achieves its intended outcomes and supporting continual improvement.</w:t>
      </w:r>
    </w:p>
    <w:p>
      <w:pPr>
        <w:pStyle w:val="ListParagraph"/>
        <w:numPr>
          <w:ilvl w:val="0"/>
          <w:numId w:val="1"/>
        </w:numPr>
        <w:spacing w:lineRule="exact" w:line="280" w:before="40" w:after="40"/>
        <w:rPr/>
      </w:pPr>
      <w:r>
        <w:rPr>
          <w:rFonts w:eastAsia="Arial" w:cs="Arial"/>
          <w:color w:val="1A1A1A"/>
          <w:sz w:val="22"/>
          <w:szCs w:val="22"/>
        </w:rPr>
        <w:t>Supporting other relevant roles to demonstrate leadership as it applies to their areas of responsibility.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5.1 Leadership and commitment; Clause 5.2 Policy; Clause 5.3 Organizational roles, responsibilities, and authorities; A.5.1 Policies for information security; A.5.4 Management responsibilities</w:t>
      </w:r>
    </w:p>
    <w:p>
      <w:pPr>
        <w:pStyle w:val="Heading1"/>
        <w:spacing w:before="360" w:after="180"/>
        <w:rPr/>
      </w:pPr>
      <w:r>
        <w:rPr>
          <w:rFonts w:eastAsia="Arial" w:cs="Arial" w:ascii="Arial" w:hAnsi="Arial"/>
          <w:b/>
          <w:bCs/>
          <w:color w:val="0000FF"/>
          <w:sz w:val="36"/>
          <w:szCs w:val="36"/>
        </w:rPr>
        <w:t>7. Roles, Responsibilities, and Authorities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Information security is a shared responsibility. The following roles have defined accountabilities within the ISMS.</w:t>
      </w:r>
    </w:p>
    <w:tbl>
      <w:tblPr>
        <w:tblW w:w="9026" w:type="dxa"/>
        <w:jc w:val="start"/>
        <w:tblInd w:w="0" w:type="dxa"/>
        <w:tblLayout w:type="fixed"/>
        <w:tblCellMar>
          <w:top w:w="120" w:type="dxa"/>
          <w:start w:w="160" w:type="dxa"/>
          <w:bottom w:w="120" w:type="dxa"/>
          <w:end w:w="160" w:type="dxa"/>
        </w:tblCellMar>
      </w:tblPr>
      <w:tblGrid>
        <w:gridCol w:w="2699"/>
        <w:gridCol w:w="6326"/>
      </w:tblGrid>
      <w:tr>
        <w:trPr>
          <w:tblHeader w:val="true"/>
        </w:trPr>
        <w:tc>
          <w:tcPr>
            <w:tcW w:w="2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20"/>
                <w:szCs w:val="20"/>
              </w:rPr>
              <w:t>ROLE</w:t>
            </w:r>
          </w:p>
        </w:tc>
        <w:tc>
          <w:tcPr>
            <w:tcW w:w="6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20"/>
                <w:szCs w:val="20"/>
              </w:rPr>
              <w:t>KEY RESPONSIBILITIES</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Managing Director</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Approves this Policy, the ISMS scope, the SoA, the risk acceptance criteria, and the information security objectives. Provides visible leadership and ensures resources are available.</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Information Security Lead</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Owns and maintains the ISMS on a day-to-day basis. Owns this Policy and supporting policies. Coordinates risk assessment, internal audit, incident response, supplier security, and management review. Reports ISMS performance to leadership.</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Data Protection Lead</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Leads on compliance with the UK GDPR and Data Protection Act 2018. Coordinates handling of personal data breaches with the Information Security Lead. Maintains the Record of Processing Activities.</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Director of Technology / Engineering Lead</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Ensures that information security is embedded in the design, build, and operation of the Cloudax platform and supporting infrastructure. Owns technical controls and the secure development lifecycle.</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Line Managers</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Ensure their teams understand and comply with this Policy and supporting policies; complete required training; apply controls in day-to-day work; and escalate concerns promptly.</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All Personnel</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Comply with this Policy and supporting policies, complete assigned training, apply controls in their work, and report information security events and weaknesses without delay.</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Suppliers and Third Parties</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Comply with contractually agreed information security requirements for the duration of their engagement, and cooperate with Cloudax on incidents and assurance activities.</w:t>
            </w:r>
          </w:p>
        </w:tc>
      </w:tr>
    </w:tbl>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5.3 Organizational roles, responsibilities, and authorities; A.5.2 Information security roles and responsibilities; A.5.4 Management responsibilities; A.6.2 Terms and conditions of employment</w:t>
      </w:r>
    </w:p>
    <w:p>
      <w:pPr>
        <w:pStyle w:val="Heading1"/>
        <w:spacing w:before="360" w:after="180"/>
        <w:rPr/>
      </w:pPr>
      <w:r>
        <w:rPr>
          <w:rFonts w:eastAsia="Arial" w:cs="Arial" w:ascii="Arial" w:hAnsi="Arial"/>
          <w:b/>
          <w:bCs/>
          <w:color w:val="0000FF"/>
          <w:sz w:val="36"/>
          <w:szCs w:val="36"/>
        </w:rPr>
        <w:t>8. Risk Management Approach</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manages information security risk through a documented risk management process, consistent with ISO/IEC 27005 and aligned to Cloudax’s wider risk management approach. The process covers:</w:t>
      </w:r>
    </w:p>
    <w:p>
      <w:pPr>
        <w:pStyle w:val="ListParagraph"/>
        <w:numPr>
          <w:ilvl w:val="0"/>
          <w:numId w:val="1"/>
        </w:numPr>
        <w:spacing w:lineRule="exact" w:line="280" w:before="40" w:after="40"/>
        <w:rPr/>
      </w:pPr>
      <w:r>
        <w:rPr>
          <w:rFonts w:eastAsia="Arial" w:cs="Arial"/>
          <w:color w:val="1A1A1A"/>
          <w:sz w:val="22"/>
          <w:szCs w:val="22"/>
        </w:rPr>
        <w:t>Establishing and maintaining risk criteria, including risk acceptance criteria and criteria for performing risk assessment.</w:t>
      </w:r>
    </w:p>
    <w:p>
      <w:pPr>
        <w:pStyle w:val="ListParagraph"/>
        <w:numPr>
          <w:ilvl w:val="0"/>
          <w:numId w:val="1"/>
        </w:numPr>
        <w:spacing w:lineRule="exact" w:line="280" w:before="40" w:after="40"/>
        <w:rPr/>
      </w:pPr>
      <w:r>
        <w:rPr>
          <w:rFonts w:eastAsia="Arial" w:cs="Arial"/>
          <w:color w:val="1A1A1A"/>
          <w:sz w:val="22"/>
          <w:szCs w:val="22"/>
        </w:rPr>
        <w:t>Identifying information security risks associated with the loss of confidentiality, integrity, and availability of information within the scope of the ISMS.</w:t>
      </w:r>
    </w:p>
    <w:p>
      <w:pPr>
        <w:pStyle w:val="ListParagraph"/>
        <w:numPr>
          <w:ilvl w:val="0"/>
          <w:numId w:val="1"/>
        </w:numPr>
        <w:spacing w:lineRule="exact" w:line="280" w:before="40" w:after="40"/>
        <w:rPr/>
      </w:pPr>
      <w:r>
        <w:rPr>
          <w:rFonts w:eastAsia="Arial" w:cs="Arial"/>
          <w:color w:val="1A1A1A"/>
          <w:sz w:val="22"/>
          <w:szCs w:val="22"/>
        </w:rPr>
        <w:t>Analysing risks to determine their likelihood and consequence, and evaluating them against the risk acceptance criteria.</w:t>
      </w:r>
    </w:p>
    <w:p>
      <w:pPr>
        <w:pStyle w:val="ListParagraph"/>
        <w:numPr>
          <w:ilvl w:val="0"/>
          <w:numId w:val="1"/>
        </w:numPr>
        <w:spacing w:lineRule="exact" w:line="280" w:before="40" w:after="40"/>
        <w:rPr/>
      </w:pPr>
      <w:r>
        <w:rPr>
          <w:rFonts w:eastAsia="Arial" w:cs="Arial"/>
          <w:color w:val="1A1A1A"/>
          <w:sz w:val="22"/>
          <w:szCs w:val="22"/>
        </w:rPr>
        <w:t>Treating risks by selecting appropriate options (modify, accept, avoid, or share), applying controls from Annex A of ISO/IEC 27001:2022 and other sources as required, and producing a Statement of Applicability.</w:t>
      </w:r>
    </w:p>
    <w:p>
      <w:pPr>
        <w:pStyle w:val="ListParagraph"/>
        <w:numPr>
          <w:ilvl w:val="0"/>
          <w:numId w:val="1"/>
        </w:numPr>
        <w:spacing w:lineRule="exact" w:line="280" w:before="40" w:after="40"/>
        <w:rPr/>
      </w:pPr>
      <w:r>
        <w:rPr>
          <w:rFonts w:eastAsia="Arial" w:cs="Arial"/>
          <w:color w:val="1A1A1A"/>
          <w:sz w:val="22"/>
          <w:szCs w:val="22"/>
        </w:rPr>
        <w:t>Formulating a Risk Treatment Plan and obtaining risk owner approval of the plan and of residual risks.</w:t>
      </w:r>
    </w:p>
    <w:p>
      <w:pPr>
        <w:pStyle w:val="ListParagraph"/>
        <w:numPr>
          <w:ilvl w:val="0"/>
          <w:numId w:val="1"/>
        </w:numPr>
        <w:spacing w:lineRule="exact" w:line="280" w:before="40" w:after="40"/>
        <w:rPr/>
      </w:pPr>
      <w:r>
        <w:rPr>
          <w:rFonts w:eastAsia="Arial" w:cs="Arial"/>
          <w:color w:val="1A1A1A"/>
          <w:sz w:val="22"/>
          <w:szCs w:val="22"/>
        </w:rPr>
        <w:t>Monitoring and reviewing risks on an ongoing basis, at defined intervals, and in response to significant changes.</w:t>
      </w:r>
    </w:p>
    <w:p>
      <w:pPr>
        <w:pStyle w:val="Normal"/>
        <w:spacing w:lineRule="exact" w:line="300" w:before="80" w:after="120"/>
        <w:rPr/>
      </w:pPr>
      <w:r>
        <w:rPr>
          <w:rFonts w:eastAsia="Arial" w:cs="Arial"/>
          <w:color w:val="1A1A1A"/>
          <w:sz w:val="22"/>
          <w:szCs w:val="22"/>
        </w:rPr>
        <w:t>The Risk Management Procedure (ISMS-PRC-002), Risk Register (ISMS-REG-003), Risk Treatment Plan (ISMS-REG-004), and Statement of Applicability define and evidence the application of this approach.</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6.1 Actions to address risks and opportunities; Clause 8.2 Information security risk assessment; Clause 8.3 Information security risk treatment</w:t>
      </w:r>
    </w:p>
    <w:p>
      <w:pPr>
        <w:pStyle w:val="Heading1"/>
        <w:spacing w:before="360" w:after="180"/>
        <w:rPr/>
      </w:pPr>
      <w:r>
        <w:rPr>
          <w:rFonts w:eastAsia="Arial" w:cs="Arial" w:ascii="Arial" w:hAnsi="Arial"/>
          <w:b/>
          <w:bCs/>
          <w:color w:val="0000FF"/>
          <w:sz w:val="36"/>
          <w:szCs w:val="36"/>
        </w:rPr>
        <w:t>9. Information Security Control Domains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implements information security controls across the four control domains defined in Annex A of ISO/IEC 27001:2022. The selection and implementation of controls is documented in the Statement of Applicability and supporting policies and procedures. This section summarises Cloudax’s position across each domain.</w:t>
      </w:r>
    </w:p>
    <w:p>
      <w:pPr>
        <w:pStyle w:val="Heading2"/>
        <w:spacing w:before="280" w:after="140"/>
        <w:rPr/>
      </w:pPr>
      <w:r>
        <w:rPr>
          <w:rFonts w:eastAsia="Arial" w:cs="Arial" w:ascii="Arial" w:hAnsi="Arial"/>
          <w:b/>
          <w:bCs/>
          <w:color w:val="0000FF"/>
          <w:sz w:val="28"/>
          <w:szCs w:val="28"/>
        </w:rPr>
        <w:t>9.1 Organisational controls</w:t>
      </w:r>
    </w:p>
    <w:p>
      <w:pPr>
        <w:pStyle w:val="Normal"/>
        <w:spacing w:lineRule="exact" w:line="300" w:before="80" w:after="120"/>
        <w:rPr/>
      </w:pPr>
      <w:r>
        <w:rPr>
          <w:rFonts w:eastAsia="Arial" w:cs="Arial"/>
          <w:color w:val="1A1A1A"/>
          <w:sz w:val="22"/>
          <w:szCs w:val="22"/>
        </w:rPr>
        <w:t>Cloudax maintains a coherent set of information security policies, roles, and processes, including:</w:t>
      </w:r>
    </w:p>
    <w:p>
      <w:pPr>
        <w:pStyle w:val="ListParagraph"/>
        <w:numPr>
          <w:ilvl w:val="0"/>
          <w:numId w:val="1"/>
        </w:numPr>
        <w:spacing w:lineRule="exact" w:line="280" w:before="40" w:after="40"/>
        <w:rPr/>
      </w:pPr>
      <w:r>
        <w:rPr>
          <w:rFonts w:eastAsia="Arial" w:cs="Arial"/>
          <w:color w:val="1A1A1A"/>
          <w:sz w:val="22"/>
          <w:szCs w:val="22"/>
        </w:rPr>
        <w:t>A policy framework led by this Policy, supported by the Acceptable Use Policy, Data Protection Policy, and subordinate procedures.</w:t>
      </w:r>
    </w:p>
    <w:p>
      <w:pPr>
        <w:pStyle w:val="ListParagraph"/>
        <w:numPr>
          <w:ilvl w:val="0"/>
          <w:numId w:val="1"/>
        </w:numPr>
        <w:spacing w:lineRule="exact" w:line="280" w:before="40" w:after="40"/>
        <w:rPr/>
      </w:pPr>
      <w:r>
        <w:rPr>
          <w:rFonts w:eastAsia="Arial" w:cs="Arial"/>
          <w:color w:val="1A1A1A"/>
          <w:sz w:val="22"/>
          <w:szCs w:val="22"/>
        </w:rPr>
        <w:t>Defined information security roles and accountabilities, segregation of duties where risk requires it, and a documented contact with authorities and special interest groups.</w:t>
      </w:r>
    </w:p>
    <w:p>
      <w:pPr>
        <w:pStyle w:val="ListParagraph"/>
        <w:numPr>
          <w:ilvl w:val="0"/>
          <w:numId w:val="1"/>
        </w:numPr>
        <w:spacing w:lineRule="exact" w:line="280" w:before="40" w:after="40"/>
        <w:rPr/>
      </w:pPr>
      <w:r>
        <w:rPr>
          <w:rFonts w:eastAsia="Arial" w:cs="Arial"/>
          <w:color w:val="1A1A1A"/>
          <w:sz w:val="22"/>
          <w:szCs w:val="22"/>
        </w:rPr>
        <w:t>An information asset inventory covering information, systems, facilities, and suppliers.</w:t>
      </w:r>
    </w:p>
    <w:p>
      <w:pPr>
        <w:pStyle w:val="ListParagraph"/>
        <w:numPr>
          <w:ilvl w:val="0"/>
          <w:numId w:val="1"/>
        </w:numPr>
        <w:spacing w:lineRule="exact" w:line="280" w:before="40" w:after="40"/>
        <w:rPr/>
      </w:pPr>
      <w:r>
        <w:rPr>
          <w:rFonts w:eastAsia="Arial" w:cs="Arial"/>
          <w:color w:val="1A1A1A"/>
          <w:sz w:val="22"/>
          <w:szCs w:val="22"/>
        </w:rPr>
        <w:t>An information classification and handling scheme with four levels: Public, Internal, Confidential, and Restricted.</w:t>
      </w:r>
    </w:p>
    <w:p>
      <w:pPr>
        <w:pStyle w:val="ListParagraph"/>
        <w:numPr>
          <w:ilvl w:val="0"/>
          <w:numId w:val="1"/>
        </w:numPr>
        <w:spacing w:lineRule="exact" w:line="280" w:before="40" w:after="40"/>
        <w:rPr/>
      </w:pPr>
      <w:r>
        <w:rPr>
          <w:rFonts w:eastAsia="Arial" w:cs="Arial"/>
          <w:color w:val="1A1A1A"/>
          <w:sz w:val="22"/>
          <w:szCs w:val="22"/>
        </w:rPr>
        <w:t>Access control based on least privilege and need-to-know, with periodic access reviews and secure authentication.</w:t>
      </w:r>
    </w:p>
    <w:p>
      <w:pPr>
        <w:pStyle w:val="ListParagraph"/>
        <w:numPr>
          <w:ilvl w:val="0"/>
          <w:numId w:val="1"/>
        </w:numPr>
        <w:spacing w:lineRule="exact" w:line="280" w:before="40" w:after="40"/>
        <w:rPr/>
      </w:pPr>
      <w:r>
        <w:rPr>
          <w:rFonts w:eastAsia="Arial" w:cs="Arial"/>
          <w:color w:val="1A1A1A"/>
          <w:sz w:val="22"/>
          <w:szCs w:val="22"/>
        </w:rPr>
        <w:t>Supplier security assurance, contractual security requirements, and cloud service controls.</w:t>
      </w:r>
    </w:p>
    <w:p>
      <w:pPr>
        <w:pStyle w:val="ListParagraph"/>
        <w:numPr>
          <w:ilvl w:val="0"/>
          <w:numId w:val="1"/>
        </w:numPr>
        <w:spacing w:lineRule="exact" w:line="280" w:before="40" w:after="40"/>
        <w:rPr/>
      </w:pPr>
      <w:r>
        <w:rPr>
          <w:rFonts w:eastAsia="Arial" w:cs="Arial"/>
          <w:color w:val="1A1A1A"/>
          <w:sz w:val="22"/>
          <w:szCs w:val="22"/>
        </w:rPr>
        <w:t>Documented incident management, business continuity, and legal compliance arrangements.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A.5.1–A.5.37 Organisational controls</w:t>
      </w:r>
    </w:p>
    <w:p>
      <w:pPr>
        <w:pStyle w:val="Heading2"/>
        <w:spacing w:before="280" w:after="140"/>
        <w:rPr/>
      </w:pPr>
      <w:r>
        <w:rPr>
          <w:rFonts w:eastAsia="Arial" w:cs="Arial" w:ascii="Arial" w:hAnsi="Arial"/>
          <w:b/>
          <w:bCs/>
          <w:color w:val="0000FF"/>
          <w:sz w:val="28"/>
          <w:szCs w:val="28"/>
        </w:rPr>
        <w:t>9.2 People controls</w:t>
      </w:r>
    </w:p>
    <w:p>
      <w:pPr>
        <w:pStyle w:val="Normal"/>
        <w:spacing w:lineRule="exact" w:line="300" w:before="80" w:after="120"/>
        <w:rPr/>
      </w:pPr>
      <w:r>
        <w:rPr>
          <w:rFonts w:eastAsia="Arial" w:cs="Arial"/>
          <w:color w:val="1A1A1A"/>
          <w:sz w:val="22"/>
          <w:szCs w:val="22"/>
        </w:rPr>
        <w:t>Cloudax manages people-related information security risk throughout the employment lifecycle, including:</w:t>
      </w:r>
    </w:p>
    <w:p>
      <w:pPr>
        <w:pStyle w:val="ListParagraph"/>
        <w:numPr>
          <w:ilvl w:val="0"/>
          <w:numId w:val="1"/>
        </w:numPr>
        <w:spacing w:lineRule="exact" w:line="280" w:before="40" w:after="40"/>
        <w:rPr/>
      </w:pPr>
      <w:r>
        <w:rPr>
          <w:rFonts w:eastAsia="Arial" w:cs="Arial"/>
          <w:color w:val="1A1A1A"/>
          <w:sz w:val="22"/>
          <w:szCs w:val="22"/>
        </w:rPr>
        <w:t>Screening and background verification proportionate to role and jurisdiction, carried out in accordance with law.</w:t>
      </w:r>
    </w:p>
    <w:p>
      <w:pPr>
        <w:pStyle w:val="ListParagraph"/>
        <w:numPr>
          <w:ilvl w:val="0"/>
          <w:numId w:val="1"/>
        </w:numPr>
        <w:spacing w:lineRule="exact" w:line="280" w:before="40" w:after="40"/>
        <w:rPr/>
      </w:pPr>
      <w:r>
        <w:rPr>
          <w:rFonts w:eastAsia="Arial" w:cs="Arial"/>
          <w:color w:val="1A1A1A"/>
          <w:sz w:val="22"/>
          <w:szCs w:val="22"/>
        </w:rPr>
        <w:t>Terms and conditions of employment and engagement that reflect information security responsibilities.</w:t>
      </w:r>
    </w:p>
    <w:p>
      <w:pPr>
        <w:pStyle w:val="ListParagraph"/>
        <w:numPr>
          <w:ilvl w:val="0"/>
          <w:numId w:val="1"/>
        </w:numPr>
        <w:spacing w:lineRule="exact" w:line="280" w:before="40" w:after="40"/>
        <w:rPr/>
      </w:pPr>
      <w:r>
        <w:rPr>
          <w:rFonts w:eastAsia="Arial" w:cs="Arial"/>
          <w:color w:val="1A1A1A"/>
          <w:sz w:val="22"/>
          <w:szCs w:val="22"/>
        </w:rPr>
        <w:t>A structured information security awareness, training, and competence programme, with baseline training on induction and periodic refresher training.</w:t>
      </w:r>
    </w:p>
    <w:p>
      <w:pPr>
        <w:pStyle w:val="ListParagraph"/>
        <w:numPr>
          <w:ilvl w:val="0"/>
          <w:numId w:val="1"/>
        </w:numPr>
        <w:spacing w:lineRule="exact" w:line="280" w:before="40" w:after="40"/>
        <w:rPr/>
      </w:pPr>
      <w:r>
        <w:rPr>
          <w:rFonts w:eastAsia="Arial" w:cs="Arial"/>
          <w:color w:val="1A1A1A"/>
          <w:sz w:val="22"/>
          <w:szCs w:val="22"/>
        </w:rPr>
        <w:t>A formal disciplinary process for breaches of information security policy.</w:t>
      </w:r>
    </w:p>
    <w:p>
      <w:pPr>
        <w:pStyle w:val="ListParagraph"/>
        <w:numPr>
          <w:ilvl w:val="0"/>
          <w:numId w:val="1"/>
        </w:numPr>
        <w:spacing w:lineRule="exact" w:line="280" w:before="40" w:after="40"/>
        <w:rPr/>
      </w:pPr>
      <w:r>
        <w:rPr>
          <w:rFonts w:eastAsia="Arial" w:cs="Arial"/>
          <w:color w:val="1A1A1A"/>
          <w:sz w:val="22"/>
          <w:szCs w:val="22"/>
        </w:rPr>
        <w:t>Defined responsibilities on termination or change of employment, including return of assets and revocation of access.</w:t>
      </w:r>
    </w:p>
    <w:p>
      <w:pPr>
        <w:pStyle w:val="ListParagraph"/>
        <w:numPr>
          <w:ilvl w:val="0"/>
          <w:numId w:val="1"/>
        </w:numPr>
        <w:spacing w:lineRule="exact" w:line="280" w:before="40" w:after="40"/>
        <w:rPr/>
      </w:pPr>
      <w:r>
        <w:rPr>
          <w:rFonts w:eastAsia="Arial" w:cs="Arial"/>
          <w:color w:val="1A1A1A"/>
          <w:sz w:val="22"/>
          <w:szCs w:val="22"/>
        </w:rPr>
        <w:t>Confidentiality and non-disclosure arrangements with personnel and third parties.</w:t>
      </w:r>
    </w:p>
    <w:p>
      <w:pPr>
        <w:pStyle w:val="ListParagraph"/>
        <w:numPr>
          <w:ilvl w:val="0"/>
          <w:numId w:val="1"/>
        </w:numPr>
        <w:spacing w:lineRule="exact" w:line="280" w:before="40" w:after="40"/>
        <w:rPr/>
      </w:pPr>
      <w:r>
        <w:rPr>
          <w:rFonts w:eastAsia="Arial" w:cs="Arial"/>
          <w:color w:val="1A1A1A"/>
          <w:sz w:val="22"/>
          <w:szCs w:val="22"/>
        </w:rPr>
        <w:t>Support for secure remote and hybrid working, including defined controls for use of the shared Manchester workspace, home working, and travel.</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A.6.1–A.6.8 People controls</w:t>
      </w:r>
    </w:p>
    <w:p>
      <w:pPr>
        <w:pStyle w:val="Heading2"/>
        <w:spacing w:before="280" w:after="140"/>
        <w:rPr/>
      </w:pPr>
      <w:r>
        <w:rPr>
          <w:rFonts w:eastAsia="Arial" w:cs="Arial" w:ascii="Arial" w:hAnsi="Arial"/>
          <w:b/>
          <w:bCs/>
          <w:color w:val="0000FF"/>
          <w:sz w:val="28"/>
          <w:szCs w:val="28"/>
        </w:rPr>
        <w:t>9.3 Physical and environmental controls</w:t>
      </w:r>
    </w:p>
    <w:p>
      <w:pPr>
        <w:pStyle w:val="Normal"/>
        <w:spacing w:lineRule="exact" w:line="300" w:before="80" w:after="120"/>
        <w:rPr/>
      </w:pPr>
      <w:r>
        <w:rPr>
          <w:rFonts w:eastAsia="Arial" w:cs="Arial"/>
          <w:color w:val="1A1A1A"/>
          <w:sz w:val="22"/>
          <w:szCs w:val="22"/>
        </w:rPr>
        <w:t>Cloudax operates from a shared workspace in Manchester and supports hybrid and remote working. Physical and environmental controls include:</w:t>
      </w:r>
    </w:p>
    <w:p>
      <w:pPr>
        <w:pStyle w:val="ListParagraph"/>
        <w:numPr>
          <w:ilvl w:val="0"/>
          <w:numId w:val="1"/>
        </w:numPr>
        <w:spacing w:lineRule="exact" w:line="280" w:before="40" w:after="40"/>
        <w:rPr/>
      </w:pPr>
      <w:r>
        <w:rPr>
          <w:rFonts w:eastAsia="Arial" w:cs="Arial"/>
          <w:color w:val="1A1A1A"/>
          <w:sz w:val="22"/>
          <w:szCs w:val="22"/>
        </w:rPr>
        <w:t>Reliance on the physical security arrangements provided by the Manchester shared workspace operator, subject to review and to Cloudax-specific additions.</w:t>
      </w:r>
    </w:p>
    <w:p>
      <w:pPr>
        <w:pStyle w:val="ListParagraph"/>
        <w:numPr>
          <w:ilvl w:val="0"/>
          <w:numId w:val="1"/>
        </w:numPr>
        <w:spacing w:lineRule="exact" w:line="280" w:before="40" w:after="40"/>
        <w:rPr/>
      </w:pPr>
      <w:r>
        <w:rPr>
          <w:rFonts w:eastAsia="Arial" w:cs="Arial"/>
          <w:color w:val="1A1A1A"/>
          <w:sz w:val="22"/>
          <w:szCs w:val="22"/>
        </w:rPr>
        <w:t>Defined physical security expectations for Cloudax zones within the workspace, for meeting rooms, and for working in communal areas.</w:t>
      </w:r>
    </w:p>
    <w:p>
      <w:pPr>
        <w:pStyle w:val="ListParagraph"/>
        <w:numPr>
          <w:ilvl w:val="0"/>
          <w:numId w:val="1"/>
        </w:numPr>
        <w:spacing w:lineRule="exact" w:line="280" w:before="40" w:after="40"/>
        <w:rPr/>
      </w:pPr>
      <w:r>
        <w:rPr>
          <w:rFonts w:eastAsia="Arial" w:cs="Arial"/>
          <w:color w:val="1A1A1A"/>
          <w:sz w:val="22"/>
          <w:szCs w:val="22"/>
        </w:rPr>
        <w:t>Clear desk and clear screen requirements in all working locations, with specific provisions for the shared workspace.</w:t>
      </w:r>
    </w:p>
    <w:p>
      <w:pPr>
        <w:pStyle w:val="ListParagraph"/>
        <w:numPr>
          <w:ilvl w:val="0"/>
          <w:numId w:val="1"/>
        </w:numPr>
        <w:spacing w:lineRule="exact" w:line="280" w:before="40" w:after="40"/>
        <w:rPr/>
      </w:pPr>
      <w:r>
        <w:rPr>
          <w:rFonts w:eastAsia="Arial" w:cs="Arial"/>
          <w:color w:val="1A1A1A"/>
          <w:sz w:val="22"/>
          <w:szCs w:val="22"/>
        </w:rPr>
        <w:t>Controls over entry to secured areas, visitor management, and prevention of tailgating.</w:t>
      </w:r>
    </w:p>
    <w:p>
      <w:pPr>
        <w:pStyle w:val="ListParagraph"/>
        <w:numPr>
          <w:ilvl w:val="0"/>
          <w:numId w:val="1"/>
        </w:numPr>
        <w:spacing w:lineRule="exact" w:line="280" w:before="40" w:after="40"/>
        <w:rPr/>
      </w:pPr>
      <w:r>
        <w:rPr>
          <w:rFonts w:eastAsia="Arial" w:cs="Arial"/>
          <w:color w:val="1A1A1A"/>
          <w:sz w:val="22"/>
          <w:szCs w:val="22"/>
        </w:rPr>
        <w:t>Management of equipment siting, off-premises equipment, storage media, and secure disposal or re-use of equipment.</w:t>
      </w:r>
    </w:p>
    <w:p>
      <w:pPr>
        <w:pStyle w:val="ListParagraph"/>
        <w:numPr>
          <w:ilvl w:val="0"/>
          <w:numId w:val="1"/>
        </w:numPr>
        <w:spacing w:lineRule="exact" w:line="280" w:before="40" w:after="40"/>
        <w:rPr/>
      </w:pPr>
      <w:r>
        <w:rPr>
          <w:rFonts w:eastAsia="Arial" w:cs="Arial"/>
          <w:color w:val="1A1A1A"/>
          <w:sz w:val="22"/>
          <w:szCs w:val="22"/>
        </w:rPr>
        <w:t>Controls over working from home, public spaces, customer sites, and while travelling.</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A.7.1–A.7.14 Physical controls</w:t>
      </w:r>
    </w:p>
    <w:p>
      <w:pPr>
        <w:pStyle w:val="Heading2"/>
        <w:spacing w:before="280" w:after="140"/>
        <w:rPr/>
      </w:pPr>
      <w:r>
        <w:rPr>
          <w:rFonts w:eastAsia="Arial" w:cs="Arial" w:ascii="Arial" w:hAnsi="Arial"/>
          <w:b/>
          <w:bCs/>
          <w:color w:val="0000FF"/>
          <w:sz w:val="28"/>
          <w:szCs w:val="28"/>
        </w:rPr>
        <w:t>9.4 Technological controls</w:t>
      </w:r>
    </w:p>
    <w:p>
      <w:pPr>
        <w:pStyle w:val="Normal"/>
        <w:spacing w:lineRule="exact" w:line="300" w:before="80" w:after="120"/>
        <w:rPr/>
      </w:pPr>
      <w:r>
        <w:rPr>
          <w:rFonts w:eastAsia="Arial" w:cs="Arial"/>
          <w:color w:val="1A1A1A"/>
          <w:sz w:val="22"/>
          <w:szCs w:val="22"/>
        </w:rPr>
        <w:t>Cloudax is a cloud-native, developer-led organisation. Technological controls reflect this and include:</w:t>
      </w:r>
    </w:p>
    <w:p>
      <w:pPr>
        <w:pStyle w:val="ListParagraph"/>
        <w:numPr>
          <w:ilvl w:val="0"/>
          <w:numId w:val="1"/>
        </w:numPr>
        <w:spacing w:lineRule="exact" w:line="280" w:before="40" w:after="40"/>
        <w:rPr/>
      </w:pPr>
      <w:r>
        <w:rPr>
          <w:rFonts w:eastAsia="Arial" w:cs="Arial"/>
          <w:color w:val="1A1A1A"/>
          <w:sz w:val="22"/>
          <w:szCs w:val="22"/>
        </w:rPr>
        <w:t>Managed endpoints with full-disk encryption, endpoint protection, mobile device management, and controlled software installation.</w:t>
      </w:r>
    </w:p>
    <w:p>
      <w:pPr>
        <w:pStyle w:val="ListParagraph"/>
        <w:numPr>
          <w:ilvl w:val="0"/>
          <w:numId w:val="1"/>
        </w:numPr>
        <w:spacing w:lineRule="exact" w:line="280" w:before="40" w:after="40"/>
        <w:rPr/>
      </w:pPr>
      <w:r>
        <w:rPr>
          <w:rFonts w:eastAsia="Arial" w:cs="Arial"/>
          <w:color w:val="1A1A1A"/>
          <w:sz w:val="22"/>
          <w:szCs w:val="22"/>
        </w:rPr>
        <w:t>Centralised identity and access management, with multi-factor authentication on all material systems, privileged access controls, and regular access review.</w:t>
      </w:r>
    </w:p>
    <w:p>
      <w:pPr>
        <w:pStyle w:val="ListParagraph"/>
        <w:numPr>
          <w:ilvl w:val="0"/>
          <w:numId w:val="1"/>
        </w:numPr>
        <w:spacing w:lineRule="exact" w:line="280" w:before="40" w:after="40"/>
        <w:rPr/>
      </w:pPr>
      <w:r>
        <w:rPr>
          <w:rFonts w:eastAsia="Arial" w:cs="Arial"/>
          <w:color w:val="1A1A1A"/>
          <w:sz w:val="22"/>
          <w:szCs w:val="22"/>
        </w:rPr>
        <w:t>Network security, segmentation, and controls over the use of network services; filtering of web traffic where appropriate.</w:t>
      </w:r>
    </w:p>
    <w:p>
      <w:pPr>
        <w:pStyle w:val="ListParagraph"/>
        <w:numPr>
          <w:ilvl w:val="0"/>
          <w:numId w:val="1"/>
        </w:numPr>
        <w:spacing w:lineRule="exact" w:line="280" w:before="40" w:after="40"/>
        <w:rPr/>
      </w:pPr>
      <w:r>
        <w:rPr>
          <w:rFonts w:eastAsia="Arial" w:cs="Arial"/>
          <w:color w:val="1A1A1A"/>
          <w:sz w:val="22"/>
          <w:szCs w:val="22"/>
        </w:rPr>
        <w:t>Protection against malware, technical vulnerability management, and configuration management of operational systems.</w:t>
      </w:r>
    </w:p>
    <w:p>
      <w:pPr>
        <w:pStyle w:val="ListParagraph"/>
        <w:numPr>
          <w:ilvl w:val="0"/>
          <w:numId w:val="1"/>
        </w:numPr>
        <w:spacing w:lineRule="exact" w:line="280" w:before="40" w:after="40"/>
        <w:rPr/>
      </w:pPr>
      <w:r>
        <w:rPr>
          <w:rFonts w:eastAsia="Arial" w:cs="Arial"/>
          <w:color w:val="1A1A1A"/>
          <w:sz w:val="22"/>
          <w:szCs w:val="22"/>
        </w:rPr>
        <w:t>Logging, monitoring, and clock synchronisation across information processing facilities, with protection of logs against tampering.</w:t>
      </w:r>
    </w:p>
    <w:p>
      <w:pPr>
        <w:pStyle w:val="ListParagraph"/>
        <w:numPr>
          <w:ilvl w:val="0"/>
          <w:numId w:val="1"/>
        </w:numPr>
        <w:spacing w:lineRule="exact" w:line="280" w:before="40" w:after="40"/>
        <w:rPr/>
      </w:pPr>
      <w:r>
        <w:rPr>
          <w:rFonts w:eastAsia="Arial" w:cs="Arial"/>
          <w:color w:val="1A1A1A"/>
          <w:sz w:val="22"/>
          <w:szCs w:val="22"/>
        </w:rPr>
        <w:t>Data masking, data leakage prevention, and controls over information deletion and backups.</w:t>
      </w:r>
    </w:p>
    <w:p>
      <w:pPr>
        <w:pStyle w:val="ListParagraph"/>
        <w:numPr>
          <w:ilvl w:val="0"/>
          <w:numId w:val="1"/>
        </w:numPr>
        <w:spacing w:lineRule="exact" w:line="280" w:before="40" w:after="40"/>
        <w:rPr/>
      </w:pPr>
      <w:r>
        <w:rPr>
          <w:rFonts w:eastAsia="Arial" w:cs="Arial"/>
          <w:color w:val="1A1A1A"/>
          <w:sz w:val="22"/>
          <w:szCs w:val="22"/>
        </w:rPr>
        <w:t>A secure development lifecycle, including separation of environments, secure coding practices, secure design, application security testing, and change management.</w:t>
      </w:r>
    </w:p>
    <w:p>
      <w:pPr>
        <w:pStyle w:val="ListParagraph"/>
        <w:numPr>
          <w:ilvl w:val="0"/>
          <w:numId w:val="1"/>
        </w:numPr>
        <w:spacing w:lineRule="exact" w:line="280" w:before="40" w:after="40"/>
        <w:rPr/>
      </w:pPr>
      <w:r>
        <w:rPr>
          <w:rFonts w:eastAsia="Arial" w:cs="Arial"/>
          <w:color w:val="1A1A1A"/>
          <w:sz w:val="22"/>
          <w:szCs w:val="22"/>
        </w:rPr>
        <w:t>Controls specific to the use of cloud services, including the use of approved suppliers, multi-factor authentication, and configuration hardening.</w:t>
      </w:r>
    </w:p>
    <w:p>
      <w:pPr>
        <w:pStyle w:val="ListParagraph"/>
        <w:numPr>
          <w:ilvl w:val="0"/>
          <w:numId w:val="1"/>
        </w:numPr>
        <w:spacing w:lineRule="exact" w:line="280" w:before="40" w:after="40"/>
        <w:rPr/>
      </w:pPr>
      <w:r>
        <w:rPr>
          <w:rFonts w:eastAsia="Arial" w:cs="Arial"/>
          <w:color w:val="1A1A1A"/>
          <w:sz w:val="22"/>
          <w:szCs w:val="22"/>
        </w:rPr>
        <w:t>Controls over the use of AI and generative AI tools, including restrictions on the information that can be submitted to external AI services.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A.8.1–A.8.34 Technological controls</w:t>
      </w:r>
    </w:p>
    <w:p>
      <w:pPr>
        <w:pStyle w:val="Heading1"/>
        <w:spacing w:before="360" w:after="180"/>
        <w:rPr/>
      </w:pPr>
      <w:r>
        <w:rPr>
          <w:rFonts w:eastAsia="Arial" w:cs="Arial" w:ascii="Arial" w:hAnsi="Arial"/>
          <w:b/>
          <w:bCs/>
          <w:color w:val="0000FF"/>
          <w:sz w:val="36"/>
          <w:szCs w:val="36"/>
        </w:rPr>
        <w:t>10. Incident Management and Business Continuity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maintains documented capabilities to:</w:t>
      </w:r>
    </w:p>
    <w:p>
      <w:pPr>
        <w:pStyle w:val="ListParagraph"/>
        <w:numPr>
          <w:ilvl w:val="0"/>
          <w:numId w:val="1"/>
        </w:numPr>
        <w:spacing w:lineRule="exact" w:line="280" w:before="40" w:after="40"/>
        <w:rPr/>
      </w:pPr>
      <w:r>
        <w:rPr>
          <w:rFonts w:eastAsia="Arial" w:cs="Arial"/>
          <w:color w:val="1A1A1A"/>
          <w:sz w:val="22"/>
          <w:szCs w:val="22"/>
        </w:rPr>
        <w:t>Receive, triage, and respond to information security events and weaknesses reported by personnel, customers, suppliers, and other parties.</w:t>
      </w:r>
    </w:p>
    <w:p>
      <w:pPr>
        <w:pStyle w:val="ListParagraph"/>
        <w:numPr>
          <w:ilvl w:val="0"/>
          <w:numId w:val="1"/>
        </w:numPr>
        <w:spacing w:lineRule="exact" w:line="280" w:before="40" w:after="40"/>
        <w:rPr/>
      </w:pPr>
      <w:r>
        <w:rPr>
          <w:rFonts w:eastAsia="Arial" w:cs="Arial"/>
          <w:color w:val="1A1A1A"/>
          <w:sz w:val="22"/>
          <w:szCs w:val="22"/>
        </w:rPr>
        <w:t>Manage information security incidents in accordance with a defined severity framework, including escalation, containment, eradication, recovery, and post-incident review.</w:t>
      </w:r>
    </w:p>
    <w:p>
      <w:pPr>
        <w:pStyle w:val="ListParagraph"/>
        <w:numPr>
          <w:ilvl w:val="0"/>
          <w:numId w:val="1"/>
        </w:numPr>
        <w:spacing w:lineRule="exact" w:line="280" w:before="40" w:after="40"/>
        <w:rPr/>
      </w:pPr>
      <w:r>
        <w:rPr>
          <w:rFonts w:eastAsia="Arial" w:cs="Arial"/>
          <w:color w:val="1A1A1A"/>
          <w:sz w:val="22"/>
          <w:szCs w:val="22"/>
        </w:rPr>
        <w:t>Notify affected parties, customers, regulators, and other interested parties in accordance with legal, regulatory, and contractual obligations, including the 72-hour notification obligation under the UK GDPR where applicable.</w:t>
      </w:r>
    </w:p>
    <w:p>
      <w:pPr>
        <w:pStyle w:val="ListParagraph"/>
        <w:numPr>
          <w:ilvl w:val="0"/>
          <w:numId w:val="1"/>
        </w:numPr>
        <w:spacing w:lineRule="exact" w:line="280" w:before="40" w:after="40"/>
        <w:rPr/>
      </w:pPr>
      <w:r>
        <w:rPr>
          <w:rFonts w:eastAsia="Arial" w:cs="Arial"/>
          <w:color w:val="1A1A1A"/>
          <w:sz w:val="22"/>
          <w:szCs w:val="22"/>
        </w:rPr>
        <w:t>Collect and preserve evidence in support of investigation and, where appropriate, legal or regulatory proceedings.</w:t>
      </w:r>
    </w:p>
    <w:p>
      <w:pPr>
        <w:pStyle w:val="ListParagraph"/>
        <w:numPr>
          <w:ilvl w:val="0"/>
          <w:numId w:val="1"/>
        </w:numPr>
        <w:spacing w:lineRule="exact" w:line="280" w:before="40" w:after="40"/>
        <w:rPr/>
      </w:pPr>
      <w:r>
        <w:rPr>
          <w:rFonts w:eastAsia="Arial" w:cs="Arial"/>
          <w:color w:val="1A1A1A"/>
          <w:sz w:val="22"/>
          <w:szCs w:val="22"/>
        </w:rPr>
        <w:t>Learn from incidents and feed findings back into risk assessment, controls, and training.</w:t>
      </w:r>
    </w:p>
    <w:p>
      <w:pPr>
        <w:pStyle w:val="ListParagraph"/>
        <w:numPr>
          <w:ilvl w:val="0"/>
          <w:numId w:val="1"/>
        </w:numPr>
        <w:spacing w:lineRule="exact" w:line="280" w:before="40" w:after="40"/>
        <w:rPr/>
      </w:pPr>
      <w:r>
        <w:rPr>
          <w:rFonts w:eastAsia="Arial" w:cs="Arial"/>
          <w:color w:val="1A1A1A"/>
          <w:sz w:val="22"/>
          <w:szCs w:val="22"/>
        </w:rPr>
        <w:t>Maintain business continuity and ICT continuity arrangements proportionate to Cloudax’s size and the criticality of its services, and test these arrangements at planned intervals.</w:t>
      </w:r>
    </w:p>
    <w:p>
      <w:pPr>
        <w:pStyle w:val="Normal"/>
        <w:spacing w:lineRule="exact" w:line="300" w:before="80" w:after="120"/>
        <w:rPr/>
      </w:pPr>
      <w:r>
        <w:rPr>
          <w:rFonts w:eastAsia="Arial" w:cs="Arial"/>
          <w:color w:val="1A1A1A"/>
          <w:sz w:val="22"/>
          <w:szCs w:val="22"/>
        </w:rPr>
        <w:t>These capabilities are detailed in the Information Security Incident Management Procedure (ISMS-PRC-010) and the Business Continuity Policy and Plan (ISMS-POL-008 and ISMS-PLN-001).</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A.5.24–A.5.30 Incident management and ICT readiness for business continuity; A.6.8 Information security event reporting; A.8.13 Information backup; A.8.14 Redundancy of information processing facilities</w:t>
      </w:r>
    </w:p>
    <w:p>
      <w:pPr>
        <w:pStyle w:val="Heading1"/>
        <w:spacing w:before="360" w:after="180"/>
        <w:rPr/>
      </w:pPr>
      <w:r>
        <w:rPr>
          <w:rFonts w:eastAsia="Arial" w:cs="Arial" w:ascii="Arial" w:hAnsi="Arial"/>
          <w:b/>
          <w:bCs/>
          <w:color w:val="0000FF"/>
          <w:sz w:val="36"/>
          <w:szCs w:val="36"/>
        </w:rPr>
        <w:t>11. Supplier and Third-Party Security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relies on cloud services and other third-party suppliers to deliver its platform. Security of the supply chain is managed by:</w:t>
      </w:r>
    </w:p>
    <w:p>
      <w:pPr>
        <w:pStyle w:val="ListParagraph"/>
        <w:numPr>
          <w:ilvl w:val="0"/>
          <w:numId w:val="1"/>
        </w:numPr>
        <w:spacing w:lineRule="exact" w:line="280" w:before="40" w:after="40"/>
        <w:rPr/>
      </w:pPr>
      <w:r>
        <w:rPr>
          <w:rFonts w:eastAsia="Arial" w:cs="Arial"/>
          <w:color w:val="1A1A1A"/>
          <w:sz w:val="22"/>
          <w:szCs w:val="22"/>
        </w:rPr>
        <w:t>Maintaining an inventory of suppliers and the services they provide, including a view of the information they process and the criticality of the service.</w:t>
      </w:r>
    </w:p>
    <w:p>
      <w:pPr>
        <w:pStyle w:val="ListParagraph"/>
        <w:numPr>
          <w:ilvl w:val="0"/>
          <w:numId w:val="1"/>
        </w:numPr>
        <w:spacing w:lineRule="exact" w:line="280" w:before="40" w:after="40"/>
        <w:rPr/>
      </w:pPr>
      <w:r>
        <w:rPr>
          <w:rFonts w:eastAsia="Arial" w:cs="Arial"/>
          <w:color w:val="1A1A1A"/>
          <w:sz w:val="22"/>
          <w:szCs w:val="22"/>
        </w:rPr>
        <w:t>Assessing the information security posture of suppliers prior to engagement, and at appropriate intervals thereafter, proportionate to the risk.</w:t>
      </w:r>
    </w:p>
    <w:p>
      <w:pPr>
        <w:pStyle w:val="ListParagraph"/>
        <w:numPr>
          <w:ilvl w:val="0"/>
          <w:numId w:val="1"/>
        </w:numPr>
        <w:spacing w:lineRule="exact" w:line="280" w:before="40" w:after="40"/>
        <w:rPr/>
      </w:pPr>
      <w:r>
        <w:rPr>
          <w:rFonts w:eastAsia="Arial" w:cs="Arial"/>
          <w:color w:val="1A1A1A"/>
          <w:sz w:val="22"/>
          <w:szCs w:val="22"/>
        </w:rPr>
        <w:t>Including information security requirements, data protection obligations, and right-to-audit or equivalent assurance provisions in supplier contracts.</w:t>
      </w:r>
    </w:p>
    <w:p>
      <w:pPr>
        <w:pStyle w:val="ListParagraph"/>
        <w:numPr>
          <w:ilvl w:val="0"/>
          <w:numId w:val="1"/>
        </w:numPr>
        <w:spacing w:lineRule="exact" w:line="280" w:before="40" w:after="40"/>
        <w:rPr/>
      </w:pPr>
      <w:r>
        <w:rPr>
          <w:rFonts w:eastAsia="Arial" w:cs="Arial"/>
          <w:color w:val="1A1A1A"/>
          <w:sz w:val="22"/>
          <w:szCs w:val="22"/>
        </w:rPr>
        <w:t>Monitoring supplier performance, security assurance reports, and changes that may affect information security.</w:t>
      </w:r>
    </w:p>
    <w:p>
      <w:pPr>
        <w:pStyle w:val="ListParagraph"/>
        <w:numPr>
          <w:ilvl w:val="0"/>
          <w:numId w:val="1"/>
        </w:numPr>
        <w:spacing w:lineRule="exact" w:line="280" w:before="40" w:after="40"/>
        <w:rPr/>
      </w:pPr>
      <w:r>
        <w:rPr>
          <w:rFonts w:eastAsia="Arial" w:cs="Arial"/>
          <w:color w:val="1A1A1A"/>
          <w:sz w:val="22"/>
          <w:szCs w:val="22"/>
        </w:rPr>
        <w:t>Applying specific controls for cloud services, including configuration, access management, and monitoring.</w:t>
      </w:r>
    </w:p>
    <w:p>
      <w:pPr>
        <w:pStyle w:val="Normal"/>
        <w:spacing w:lineRule="exact" w:line="300" w:before="80" w:after="120"/>
        <w:rPr/>
      </w:pPr>
      <w:r>
        <w:rPr>
          <w:rFonts w:eastAsia="Arial" w:cs="Arial"/>
          <w:color w:val="1A1A1A"/>
          <w:sz w:val="22"/>
          <w:szCs w:val="22"/>
        </w:rPr>
        <w:t>The Supplier and Cloud Service Approval Procedure (ISMS-PRC-007) defines how these requirements are applied in practice.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A.5.19–A.5.23 Supplier relationships and cloud services</w:t>
      </w:r>
    </w:p>
    <w:p>
      <w:pPr>
        <w:pStyle w:val="Heading1"/>
        <w:spacing w:before="360" w:after="180"/>
        <w:rPr/>
      </w:pPr>
      <w:r>
        <w:rPr>
          <w:rFonts w:eastAsia="Arial" w:cs="Arial" w:ascii="Arial" w:hAnsi="Arial"/>
          <w:b/>
          <w:bCs/>
          <w:color w:val="0000FF"/>
          <w:sz w:val="36"/>
          <w:szCs w:val="36"/>
        </w:rPr>
        <w:t>12. Compliance with Laws, Regulations, and Contracts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is committed to complying with all applicable legal, statutory, regulatory, and contractual requirements relating to information security, including but not limited to:</w:t>
      </w:r>
    </w:p>
    <w:p>
      <w:pPr>
        <w:pStyle w:val="ListParagraph"/>
        <w:numPr>
          <w:ilvl w:val="0"/>
          <w:numId w:val="1"/>
        </w:numPr>
        <w:spacing w:lineRule="exact" w:line="280" w:before="40" w:after="40"/>
        <w:rPr/>
      </w:pPr>
      <w:r>
        <w:rPr>
          <w:rFonts w:eastAsia="Arial" w:cs="Arial"/>
          <w:color w:val="1A1A1A"/>
          <w:sz w:val="22"/>
          <w:szCs w:val="22"/>
        </w:rPr>
        <w:t>The UK General Data Protection Regulation (UK GDPR) and the Data Protection Act 2018.</w:t>
      </w:r>
    </w:p>
    <w:p>
      <w:pPr>
        <w:pStyle w:val="ListParagraph"/>
        <w:numPr>
          <w:ilvl w:val="0"/>
          <w:numId w:val="1"/>
        </w:numPr>
        <w:spacing w:lineRule="exact" w:line="280" w:before="40" w:after="40"/>
        <w:rPr/>
      </w:pPr>
      <w:r>
        <w:rPr>
          <w:rFonts w:eastAsia="Arial" w:cs="Arial"/>
          <w:color w:val="1A1A1A"/>
          <w:sz w:val="22"/>
          <w:szCs w:val="22"/>
        </w:rPr>
        <w:t>The Computer Misuse Act 1990.</w:t>
      </w:r>
    </w:p>
    <w:p>
      <w:pPr>
        <w:pStyle w:val="ListParagraph"/>
        <w:numPr>
          <w:ilvl w:val="0"/>
          <w:numId w:val="1"/>
        </w:numPr>
        <w:spacing w:lineRule="exact" w:line="280" w:before="40" w:after="40"/>
        <w:rPr/>
      </w:pPr>
      <w:r>
        <w:rPr>
          <w:rFonts w:eastAsia="Arial" w:cs="Arial"/>
          <w:color w:val="1A1A1A"/>
          <w:sz w:val="22"/>
          <w:szCs w:val="22"/>
        </w:rPr>
        <w:t>The Privacy and Electronic Communications Regulations 2003 (PECR).</w:t>
      </w:r>
    </w:p>
    <w:p>
      <w:pPr>
        <w:pStyle w:val="ListParagraph"/>
        <w:numPr>
          <w:ilvl w:val="0"/>
          <w:numId w:val="1"/>
        </w:numPr>
        <w:spacing w:lineRule="exact" w:line="280" w:before="40" w:after="40"/>
        <w:rPr/>
      </w:pPr>
      <w:r>
        <w:rPr>
          <w:rFonts w:eastAsia="Arial" w:cs="Arial"/>
          <w:color w:val="1A1A1A"/>
          <w:sz w:val="22"/>
          <w:szCs w:val="22"/>
        </w:rPr>
        <w:t>The Equality Act 2010.</w:t>
      </w:r>
    </w:p>
    <w:p>
      <w:pPr>
        <w:pStyle w:val="ListParagraph"/>
        <w:numPr>
          <w:ilvl w:val="0"/>
          <w:numId w:val="1"/>
        </w:numPr>
        <w:spacing w:lineRule="exact" w:line="280" w:before="40" w:after="40"/>
        <w:rPr/>
      </w:pPr>
      <w:r>
        <w:rPr>
          <w:rFonts w:eastAsia="Arial" w:cs="Arial"/>
          <w:color w:val="1A1A1A"/>
          <w:sz w:val="22"/>
          <w:szCs w:val="22"/>
        </w:rPr>
        <w:t>The Copyright, Designs and Patents Act 1988 and other intellectual property law.</w:t>
      </w:r>
    </w:p>
    <w:p>
      <w:pPr>
        <w:pStyle w:val="ListParagraph"/>
        <w:numPr>
          <w:ilvl w:val="0"/>
          <w:numId w:val="1"/>
        </w:numPr>
        <w:spacing w:lineRule="exact" w:line="280" w:before="40" w:after="40"/>
        <w:rPr/>
      </w:pPr>
      <w:r>
        <w:rPr>
          <w:rFonts w:eastAsia="Arial" w:cs="Arial"/>
          <w:color w:val="1A1A1A"/>
          <w:sz w:val="22"/>
          <w:szCs w:val="22"/>
        </w:rPr>
        <w:t>Applicable export control, sanctions, and anti-bribery legislation.</w:t>
      </w:r>
    </w:p>
    <w:p>
      <w:pPr>
        <w:pStyle w:val="ListParagraph"/>
        <w:numPr>
          <w:ilvl w:val="0"/>
          <w:numId w:val="1"/>
        </w:numPr>
        <w:spacing w:lineRule="exact" w:line="280" w:before="40" w:after="40"/>
        <w:rPr/>
      </w:pPr>
      <w:r>
        <w:rPr>
          <w:rFonts w:eastAsia="Arial" w:cs="Arial"/>
          <w:color w:val="1A1A1A"/>
          <w:sz w:val="22"/>
          <w:szCs w:val="22"/>
        </w:rPr>
        <w:t>Customer contractual requirements, including data processing agreements and information security schedules.</w:t>
      </w:r>
    </w:p>
    <w:p>
      <w:pPr>
        <w:pStyle w:val="Normal"/>
        <w:spacing w:lineRule="exact" w:line="300" w:before="80" w:after="120"/>
        <w:rPr/>
      </w:pPr>
      <w:r>
        <w:rPr>
          <w:rFonts w:eastAsia="Arial" w:cs="Arial"/>
          <w:color w:val="1A1A1A"/>
          <w:sz w:val="22"/>
          <w:szCs w:val="22"/>
        </w:rPr>
        <w:t>The Information Security Lead maintains a register of applicable legal, regulatory, and contractual requirements (ISMS-REG-005) and works with the Data Protection Lead and external advisors as required to interpret and apply them.</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A.5.31 Legal, statutory, regulatory and contractual requirements; A.5.32 Intellectual property rights; A.5.33 Protection of records; A.5.34 Privacy and protection of PII; A.5.35 Independent review of information security; A.5.36 Compliance with policies, rules, and standards; A.5.37 Documented operating procedures</w:t>
      </w:r>
    </w:p>
    <w:p>
      <w:pPr>
        <w:pStyle w:val="Heading1"/>
        <w:spacing w:before="360" w:after="180"/>
        <w:rPr/>
      </w:pPr>
      <w:r>
        <w:rPr>
          <w:rFonts w:eastAsia="Arial" w:cs="Arial" w:ascii="Arial" w:hAnsi="Arial"/>
          <w:b/>
          <w:bCs/>
          <w:color w:val="0000FF"/>
          <w:sz w:val="36"/>
          <w:szCs w:val="36"/>
        </w:rPr>
        <w:t>13. Awareness, Training, and Competence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ensures that personnel are aware of their information security responsibilities and are competent to perform them. This is achieved by:</w:t>
      </w:r>
    </w:p>
    <w:p>
      <w:pPr>
        <w:pStyle w:val="ListParagraph"/>
        <w:numPr>
          <w:ilvl w:val="0"/>
          <w:numId w:val="1"/>
        </w:numPr>
        <w:spacing w:lineRule="exact" w:line="280" w:before="40" w:after="40"/>
        <w:rPr/>
      </w:pPr>
      <w:r>
        <w:rPr>
          <w:rFonts w:eastAsia="Arial" w:cs="Arial"/>
          <w:color w:val="1A1A1A"/>
          <w:sz w:val="22"/>
          <w:szCs w:val="22"/>
        </w:rPr>
        <w:t>Defining information security competence requirements for roles within the ISMS.</w:t>
      </w:r>
    </w:p>
    <w:p>
      <w:pPr>
        <w:pStyle w:val="ListParagraph"/>
        <w:numPr>
          <w:ilvl w:val="0"/>
          <w:numId w:val="1"/>
        </w:numPr>
        <w:spacing w:lineRule="exact" w:line="280" w:before="40" w:after="40"/>
        <w:rPr/>
      </w:pPr>
      <w:r>
        <w:rPr>
          <w:rFonts w:eastAsia="Arial" w:cs="Arial"/>
          <w:color w:val="1A1A1A"/>
          <w:sz w:val="22"/>
          <w:szCs w:val="22"/>
        </w:rPr>
        <w:t>Delivering information security awareness content as part of induction and at regular intervals thereafter.</w:t>
      </w:r>
    </w:p>
    <w:p>
      <w:pPr>
        <w:pStyle w:val="ListParagraph"/>
        <w:numPr>
          <w:ilvl w:val="0"/>
          <w:numId w:val="1"/>
        </w:numPr>
        <w:spacing w:lineRule="exact" w:line="280" w:before="40" w:after="40"/>
        <w:rPr/>
      </w:pPr>
      <w:r>
        <w:rPr>
          <w:rFonts w:eastAsia="Arial" w:cs="Arial"/>
          <w:color w:val="1A1A1A"/>
          <w:sz w:val="22"/>
          <w:szCs w:val="22"/>
        </w:rPr>
        <w:t>Providing role-specific training for personnel with information security responsibilities, including engineering, operations, and supplier management roles.</w:t>
      </w:r>
    </w:p>
    <w:p>
      <w:pPr>
        <w:pStyle w:val="ListParagraph"/>
        <w:numPr>
          <w:ilvl w:val="0"/>
          <w:numId w:val="1"/>
        </w:numPr>
        <w:spacing w:lineRule="exact" w:line="280" w:before="40" w:after="40"/>
        <w:rPr/>
      </w:pPr>
      <w:r>
        <w:rPr>
          <w:rFonts w:eastAsia="Arial" w:cs="Arial"/>
          <w:color w:val="1A1A1A"/>
          <w:sz w:val="22"/>
          <w:szCs w:val="22"/>
        </w:rPr>
        <w:t>Running phishing simulations and other practical exercises to build and test awareness.</w:t>
      </w:r>
    </w:p>
    <w:p>
      <w:pPr>
        <w:pStyle w:val="ListParagraph"/>
        <w:numPr>
          <w:ilvl w:val="0"/>
          <w:numId w:val="1"/>
        </w:numPr>
        <w:spacing w:lineRule="exact" w:line="280" w:before="40" w:after="40"/>
        <w:rPr/>
      </w:pPr>
      <w:r>
        <w:rPr>
          <w:rFonts w:eastAsia="Arial" w:cs="Arial"/>
          <w:color w:val="1A1A1A"/>
          <w:sz w:val="22"/>
          <w:szCs w:val="22"/>
        </w:rPr>
        <w:t>Recording and retaining evidence of training completion as part of the ISMS.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7.1 Resources; Clause 7.2 Competence; Clause 7.3 Awareness; Clause 7.4 Communication; A.6.3 Information security awareness, education, and training</w:t>
      </w:r>
    </w:p>
    <w:p>
      <w:pPr>
        <w:pStyle w:val="Heading1"/>
        <w:spacing w:before="360" w:after="180"/>
        <w:rPr/>
      </w:pPr>
      <w:r>
        <w:rPr>
          <w:rFonts w:eastAsia="Arial" w:cs="Arial" w:ascii="Arial" w:hAnsi="Arial"/>
          <w:b/>
          <w:bCs/>
          <w:color w:val="0000FF"/>
          <w:sz w:val="36"/>
          <w:szCs w:val="36"/>
        </w:rPr>
        <w:t>14. Performance Evaluation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evaluates the performance of the ISMS through:</w:t>
      </w:r>
    </w:p>
    <w:p>
      <w:pPr>
        <w:pStyle w:val="ListParagraph"/>
        <w:numPr>
          <w:ilvl w:val="0"/>
          <w:numId w:val="1"/>
        </w:numPr>
        <w:spacing w:lineRule="exact" w:line="280" w:before="40" w:after="40"/>
        <w:rPr/>
      </w:pPr>
      <w:r>
        <w:rPr>
          <w:rFonts w:eastAsia="Arial" w:cs="Arial"/>
          <w:color w:val="1A1A1A"/>
          <w:sz w:val="22"/>
          <w:szCs w:val="22"/>
        </w:rPr>
        <w:t>Monitoring and measurement of defined KPIs and control effectiveness indicators.</w:t>
      </w:r>
    </w:p>
    <w:p>
      <w:pPr>
        <w:pStyle w:val="ListParagraph"/>
        <w:numPr>
          <w:ilvl w:val="0"/>
          <w:numId w:val="1"/>
        </w:numPr>
        <w:spacing w:lineRule="exact" w:line="280" w:before="40" w:after="40"/>
        <w:rPr/>
      </w:pPr>
      <w:r>
        <w:rPr>
          <w:rFonts w:eastAsia="Arial" w:cs="Arial"/>
          <w:color w:val="1A1A1A"/>
          <w:sz w:val="22"/>
          <w:szCs w:val="22"/>
        </w:rPr>
        <w:t>Internal audit carried out in accordance with a documented internal audit programme, covering the full ISMS on an appropriate cycle.</w:t>
      </w:r>
    </w:p>
    <w:p>
      <w:pPr>
        <w:pStyle w:val="ListParagraph"/>
        <w:numPr>
          <w:ilvl w:val="0"/>
          <w:numId w:val="1"/>
        </w:numPr>
        <w:spacing w:lineRule="exact" w:line="280" w:before="40" w:after="40"/>
        <w:rPr/>
      </w:pPr>
      <w:r>
        <w:rPr>
          <w:rFonts w:eastAsia="Arial" w:cs="Arial"/>
          <w:color w:val="1A1A1A"/>
          <w:sz w:val="22"/>
          <w:szCs w:val="22"/>
        </w:rPr>
        <w:t>Management review at least annually, with additional reviews as required by events or changes to the business.</w:t>
      </w:r>
    </w:p>
    <w:p>
      <w:pPr>
        <w:pStyle w:val="ListParagraph"/>
        <w:numPr>
          <w:ilvl w:val="0"/>
          <w:numId w:val="1"/>
        </w:numPr>
        <w:spacing w:lineRule="exact" w:line="280" w:before="40" w:after="40"/>
        <w:rPr/>
      </w:pPr>
      <w:r>
        <w:rPr>
          <w:rFonts w:eastAsia="Arial" w:cs="Arial"/>
          <w:color w:val="1A1A1A"/>
          <w:sz w:val="22"/>
          <w:szCs w:val="22"/>
        </w:rPr>
        <w:t>Independent review of information security at planned intervals, or when significant changes occur.</w:t>
      </w:r>
    </w:p>
    <w:p>
      <w:pPr>
        <w:pStyle w:val="ListParagraph"/>
        <w:numPr>
          <w:ilvl w:val="0"/>
          <w:numId w:val="1"/>
        </w:numPr>
        <w:spacing w:lineRule="exact" w:line="280" w:before="40" w:after="40"/>
        <w:rPr/>
      </w:pPr>
      <w:r>
        <w:rPr>
          <w:rFonts w:eastAsia="Arial" w:cs="Arial"/>
          <w:color w:val="1A1A1A"/>
          <w:sz w:val="22"/>
          <w:szCs w:val="22"/>
        </w:rPr>
        <w:t>Review of findings from incidents, non-conformities, customer assurance activities, and external audits.</w:t>
      </w:r>
    </w:p>
    <w:p>
      <w:pPr>
        <w:pStyle w:val="Normal"/>
        <w:spacing w:lineRule="exact" w:line="300" w:before="80" w:after="120"/>
        <w:rPr/>
      </w:pPr>
      <w:r>
        <w:rPr>
          <w:rFonts w:eastAsia="Arial" w:cs="Arial"/>
          <w:color w:val="1A1A1A"/>
          <w:sz w:val="22"/>
          <w:szCs w:val="22"/>
        </w:rPr>
        <w:t>Outputs from these activities drive corrective action, control improvement, and refinement of this Policy and supporting documents.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9.1 Monitoring, measurement, analysis and evaluation; Clause 9.2 Internal audit; Clause 9.3 Management review; A.5.35 Independent review of information security; A.5.36 Compliance with policies, rules, and standards</w:t>
      </w:r>
    </w:p>
    <w:p>
      <w:pPr>
        <w:pStyle w:val="Heading1"/>
        <w:spacing w:before="360" w:after="180"/>
        <w:rPr/>
      </w:pPr>
      <w:r>
        <w:rPr>
          <w:rFonts w:eastAsia="Arial" w:cs="Arial" w:ascii="Arial" w:hAnsi="Arial"/>
          <w:b/>
          <w:bCs/>
          <w:color w:val="0000FF"/>
          <w:sz w:val="36"/>
          <w:szCs w:val="36"/>
        </w:rPr>
        <w:t>15. Continual Improvement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continually improves the suitability, adequacy, and effectiveness of the ISMS. Improvement is driven by:</w:t>
      </w:r>
    </w:p>
    <w:p>
      <w:pPr>
        <w:pStyle w:val="ListParagraph"/>
        <w:numPr>
          <w:ilvl w:val="0"/>
          <w:numId w:val="1"/>
        </w:numPr>
        <w:spacing w:lineRule="exact" w:line="280" w:before="40" w:after="40"/>
        <w:rPr/>
      </w:pPr>
      <w:r>
        <w:rPr>
          <w:rFonts w:eastAsia="Arial" w:cs="Arial"/>
          <w:color w:val="1A1A1A"/>
          <w:sz w:val="22"/>
          <w:szCs w:val="22"/>
        </w:rPr>
        <w:t>Findings from internal audit, management review, and independent review.</w:t>
      </w:r>
    </w:p>
    <w:p>
      <w:pPr>
        <w:pStyle w:val="ListParagraph"/>
        <w:numPr>
          <w:ilvl w:val="0"/>
          <w:numId w:val="1"/>
        </w:numPr>
        <w:spacing w:lineRule="exact" w:line="280" w:before="40" w:after="40"/>
        <w:rPr/>
      </w:pPr>
      <w:r>
        <w:rPr>
          <w:rFonts w:eastAsia="Arial" w:cs="Arial"/>
          <w:color w:val="1A1A1A"/>
          <w:sz w:val="22"/>
          <w:szCs w:val="22"/>
        </w:rPr>
        <w:t>Learning from information security events and incidents.</w:t>
      </w:r>
    </w:p>
    <w:p>
      <w:pPr>
        <w:pStyle w:val="ListParagraph"/>
        <w:numPr>
          <w:ilvl w:val="0"/>
          <w:numId w:val="1"/>
        </w:numPr>
        <w:spacing w:lineRule="exact" w:line="280" w:before="40" w:after="40"/>
        <w:rPr/>
      </w:pPr>
      <w:r>
        <w:rPr>
          <w:rFonts w:eastAsia="Arial" w:cs="Arial"/>
          <w:color w:val="1A1A1A"/>
          <w:sz w:val="22"/>
          <w:szCs w:val="22"/>
        </w:rPr>
        <w:t>Changes to the threat and regulatory landscape.</w:t>
      </w:r>
    </w:p>
    <w:p>
      <w:pPr>
        <w:pStyle w:val="ListParagraph"/>
        <w:numPr>
          <w:ilvl w:val="0"/>
          <w:numId w:val="1"/>
        </w:numPr>
        <w:spacing w:lineRule="exact" w:line="280" w:before="40" w:after="40"/>
        <w:rPr/>
      </w:pPr>
      <w:r>
        <w:rPr>
          <w:rFonts w:eastAsia="Arial" w:cs="Arial"/>
          <w:color w:val="1A1A1A"/>
          <w:sz w:val="22"/>
          <w:szCs w:val="22"/>
        </w:rPr>
        <w:t>Changes to Cloudax’s business, services, technology, and supplier ecosystem.</w:t>
      </w:r>
    </w:p>
    <w:p>
      <w:pPr>
        <w:pStyle w:val="ListParagraph"/>
        <w:numPr>
          <w:ilvl w:val="0"/>
          <w:numId w:val="1"/>
        </w:numPr>
        <w:spacing w:lineRule="exact" w:line="280" w:before="40" w:after="40"/>
        <w:rPr/>
      </w:pPr>
      <w:r>
        <w:rPr>
          <w:rFonts w:eastAsia="Arial" w:cs="Arial"/>
          <w:color w:val="1A1A1A"/>
          <w:sz w:val="22"/>
          <w:szCs w:val="22"/>
        </w:rPr>
        <w:t>Feedback from customers, employees, suppliers, and other interested parties.</w:t>
      </w:r>
    </w:p>
    <w:p>
      <w:pPr>
        <w:pStyle w:val="Normal"/>
        <w:spacing w:lineRule="exact" w:line="300" w:before="80" w:after="120"/>
        <w:rPr/>
      </w:pPr>
      <w:r>
        <w:rPr>
          <w:rFonts w:eastAsia="Arial" w:cs="Arial"/>
          <w:color w:val="1A1A1A"/>
          <w:sz w:val="22"/>
          <w:szCs w:val="22"/>
        </w:rPr>
        <w:t>Non-conformities and opportunities for improvement are recorded, assigned to an owner, tracked to closure, and evaluated for effectiveness. The Non-Conformity and Corrective Action Procedure (ISMS-PRC-011) defines how this is done.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10.1 Continual improvement; Clause 10.2 Nonconformity and corrective action</w:t>
      </w:r>
    </w:p>
    <w:p>
      <w:pPr>
        <w:pStyle w:val="Heading1"/>
        <w:spacing w:before="360" w:after="180"/>
        <w:rPr/>
      </w:pPr>
      <w:r>
        <w:rPr>
          <w:rFonts w:eastAsia="Arial" w:cs="Arial" w:ascii="Arial" w:hAnsi="Arial"/>
          <w:b/>
          <w:bCs/>
          <w:color w:val="0000FF"/>
          <w:sz w:val="36"/>
          <w:szCs w:val="36"/>
        </w:rPr>
        <w:t>16. Policy Framework and Supporting Documents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the highest-level policy in the Cloudax ISMS. It is supported by a framework of subordinate policies and procedures, each owned by the Information Security Lead and approved by the Managing Director or delegated authority. The current policy framework includes:</w:t>
      </w:r>
    </w:p>
    <w:p>
      <w:pPr>
        <w:pStyle w:val="ListParagraph"/>
        <w:numPr>
          <w:ilvl w:val="0"/>
          <w:numId w:val="1"/>
        </w:numPr>
        <w:spacing w:lineRule="exact" w:line="280" w:before="40" w:after="40"/>
        <w:rPr/>
      </w:pPr>
      <w:r>
        <w:rPr>
          <w:rFonts w:eastAsia="Arial" w:cs="Arial"/>
          <w:color w:val="1A1A1A"/>
          <w:sz w:val="22"/>
          <w:szCs w:val="22"/>
        </w:rPr>
        <w:t>Acceptable Use Policy (ISMS-POL-005).</w:t>
      </w:r>
    </w:p>
    <w:p>
      <w:pPr>
        <w:pStyle w:val="ListParagraph"/>
        <w:numPr>
          <w:ilvl w:val="0"/>
          <w:numId w:val="1"/>
        </w:numPr>
        <w:spacing w:lineRule="exact" w:line="280" w:before="40" w:after="40"/>
        <w:rPr/>
      </w:pPr>
      <w:r>
        <w:rPr>
          <w:rFonts w:eastAsia="Arial" w:cs="Arial"/>
          <w:color w:val="1A1A1A"/>
          <w:sz w:val="22"/>
          <w:szCs w:val="22"/>
        </w:rPr>
        <w:t>Data Protection Policy (ISMS-POL-002).</w:t>
      </w:r>
    </w:p>
    <w:p>
      <w:pPr>
        <w:pStyle w:val="ListParagraph"/>
        <w:numPr>
          <w:ilvl w:val="0"/>
          <w:numId w:val="1"/>
        </w:numPr>
        <w:spacing w:lineRule="exact" w:line="280" w:before="40" w:after="40"/>
        <w:rPr/>
      </w:pPr>
      <w:r>
        <w:rPr>
          <w:rFonts w:eastAsia="Arial" w:cs="Arial"/>
          <w:color w:val="1A1A1A"/>
          <w:sz w:val="22"/>
          <w:szCs w:val="22"/>
        </w:rPr>
        <w:t>Access Control Policy and Procedure (ISMS-POL-003, ISMS-PRC-003).</w:t>
      </w:r>
    </w:p>
    <w:p>
      <w:pPr>
        <w:pStyle w:val="ListParagraph"/>
        <w:numPr>
          <w:ilvl w:val="0"/>
          <w:numId w:val="1"/>
        </w:numPr>
        <w:spacing w:lineRule="exact" w:line="280" w:before="40" w:after="40"/>
        <w:rPr/>
      </w:pPr>
      <w:r>
        <w:rPr>
          <w:rFonts w:eastAsia="Arial" w:cs="Arial"/>
          <w:color w:val="1A1A1A"/>
          <w:sz w:val="22"/>
          <w:szCs w:val="22"/>
        </w:rPr>
        <w:t>Information Classification and Handling Procedure (ISMS-PRC-004).</w:t>
      </w:r>
    </w:p>
    <w:p>
      <w:pPr>
        <w:pStyle w:val="ListParagraph"/>
        <w:numPr>
          <w:ilvl w:val="0"/>
          <w:numId w:val="1"/>
        </w:numPr>
        <w:spacing w:lineRule="exact" w:line="280" w:before="40" w:after="40"/>
        <w:rPr/>
      </w:pPr>
      <w:r>
        <w:rPr>
          <w:rFonts w:eastAsia="Arial" w:cs="Arial"/>
          <w:color w:val="1A1A1A"/>
          <w:sz w:val="22"/>
          <w:szCs w:val="22"/>
        </w:rPr>
        <w:t>Cryptography and Key Management Procedure (ISMS-PRC-005).</w:t>
      </w:r>
    </w:p>
    <w:p>
      <w:pPr>
        <w:pStyle w:val="ListParagraph"/>
        <w:numPr>
          <w:ilvl w:val="0"/>
          <w:numId w:val="1"/>
        </w:numPr>
        <w:spacing w:lineRule="exact" w:line="280" w:before="40" w:after="40"/>
        <w:rPr/>
      </w:pPr>
      <w:r>
        <w:rPr>
          <w:rFonts w:eastAsia="Arial" w:cs="Arial"/>
          <w:color w:val="1A1A1A"/>
          <w:sz w:val="22"/>
          <w:szCs w:val="22"/>
        </w:rPr>
        <w:t>Mobile Device and Remote Working Procedure (ISMS-PRC-006).</w:t>
      </w:r>
    </w:p>
    <w:p>
      <w:pPr>
        <w:pStyle w:val="ListParagraph"/>
        <w:numPr>
          <w:ilvl w:val="0"/>
          <w:numId w:val="1"/>
        </w:numPr>
        <w:spacing w:lineRule="exact" w:line="280" w:before="40" w:after="40"/>
        <w:rPr/>
      </w:pPr>
      <w:r>
        <w:rPr>
          <w:rFonts w:eastAsia="Arial" w:cs="Arial"/>
          <w:color w:val="1A1A1A"/>
          <w:sz w:val="22"/>
          <w:szCs w:val="22"/>
        </w:rPr>
        <w:t>Supplier and Cloud Service Approval Procedure (ISMS-PRC-007).</w:t>
      </w:r>
    </w:p>
    <w:p>
      <w:pPr>
        <w:pStyle w:val="ListParagraph"/>
        <w:numPr>
          <w:ilvl w:val="0"/>
          <w:numId w:val="1"/>
        </w:numPr>
        <w:spacing w:lineRule="exact" w:line="280" w:before="40" w:after="40"/>
        <w:rPr/>
      </w:pPr>
      <w:r>
        <w:rPr>
          <w:rFonts w:eastAsia="Arial" w:cs="Arial"/>
          <w:color w:val="1A1A1A"/>
          <w:sz w:val="22"/>
          <w:szCs w:val="22"/>
        </w:rPr>
        <w:t>Secure Development Policy and Procedure (ISMS-POL-006, ISMS-PRC-008).</w:t>
      </w:r>
    </w:p>
    <w:p>
      <w:pPr>
        <w:pStyle w:val="ListParagraph"/>
        <w:numPr>
          <w:ilvl w:val="0"/>
          <w:numId w:val="1"/>
        </w:numPr>
        <w:spacing w:lineRule="exact" w:line="280" w:before="40" w:after="40"/>
        <w:rPr/>
      </w:pPr>
      <w:r>
        <w:rPr>
          <w:rFonts w:eastAsia="Arial" w:cs="Arial"/>
          <w:color w:val="1A1A1A"/>
          <w:sz w:val="22"/>
          <w:szCs w:val="22"/>
        </w:rPr>
        <w:t>Change Management Procedure (ISMS-PRC-009).</w:t>
      </w:r>
    </w:p>
    <w:p>
      <w:pPr>
        <w:pStyle w:val="ListParagraph"/>
        <w:numPr>
          <w:ilvl w:val="0"/>
          <w:numId w:val="1"/>
        </w:numPr>
        <w:spacing w:lineRule="exact" w:line="280" w:before="40" w:after="40"/>
        <w:rPr/>
      </w:pPr>
      <w:r>
        <w:rPr>
          <w:rFonts w:eastAsia="Arial" w:cs="Arial"/>
          <w:color w:val="1A1A1A"/>
          <w:sz w:val="22"/>
          <w:szCs w:val="22"/>
        </w:rPr>
        <w:t>Information Security Incident Management Procedure (ISMS-PRC-010).</w:t>
      </w:r>
    </w:p>
    <w:p>
      <w:pPr>
        <w:pStyle w:val="ListParagraph"/>
        <w:numPr>
          <w:ilvl w:val="0"/>
          <w:numId w:val="1"/>
        </w:numPr>
        <w:spacing w:lineRule="exact" w:line="280" w:before="40" w:after="40"/>
        <w:rPr/>
      </w:pPr>
      <w:r>
        <w:rPr>
          <w:rFonts w:eastAsia="Arial" w:cs="Arial"/>
          <w:color w:val="1A1A1A"/>
          <w:sz w:val="22"/>
          <w:szCs w:val="22"/>
        </w:rPr>
        <w:t>Business Continuity Policy and Plan (ISMS-POL-008, ISMS-PLN-001).</w:t>
      </w:r>
    </w:p>
    <w:p>
      <w:pPr>
        <w:pStyle w:val="ListParagraph"/>
        <w:numPr>
          <w:ilvl w:val="0"/>
          <w:numId w:val="1"/>
        </w:numPr>
        <w:spacing w:lineRule="exact" w:line="280" w:before="40" w:after="40"/>
        <w:rPr/>
      </w:pPr>
      <w:r>
        <w:rPr>
          <w:rFonts w:eastAsia="Arial" w:cs="Arial"/>
          <w:color w:val="1A1A1A"/>
          <w:sz w:val="22"/>
          <w:szCs w:val="22"/>
        </w:rPr>
        <w:t>Risk Management Procedure (ISMS-PRC-002).</w:t>
      </w:r>
    </w:p>
    <w:p>
      <w:pPr>
        <w:pStyle w:val="ListParagraph"/>
        <w:numPr>
          <w:ilvl w:val="0"/>
          <w:numId w:val="1"/>
        </w:numPr>
        <w:spacing w:lineRule="exact" w:line="280" w:before="40" w:after="40"/>
        <w:rPr/>
      </w:pPr>
      <w:r>
        <w:rPr>
          <w:rFonts w:eastAsia="Arial" w:cs="Arial"/>
          <w:color w:val="1A1A1A"/>
          <w:sz w:val="22"/>
          <w:szCs w:val="22"/>
        </w:rPr>
        <w:t>Monitoring and Privacy Procedure (ISMS-PRC-012).</w:t>
      </w:r>
    </w:p>
    <w:p>
      <w:pPr>
        <w:pStyle w:val="ListParagraph"/>
        <w:numPr>
          <w:ilvl w:val="0"/>
          <w:numId w:val="1"/>
        </w:numPr>
        <w:spacing w:lineRule="exact" w:line="280" w:before="40" w:after="40"/>
        <w:rPr/>
      </w:pPr>
      <w:r>
        <w:rPr>
          <w:rFonts w:eastAsia="Arial" w:cs="Arial"/>
          <w:color w:val="1A1A1A"/>
          <w:sz w:val="22"/>
          <w:szCs w:val="22"/>
        </w:rPr>
        <w:t>AI Risk Management Procedure (ISMS-PRC-013).</w:t>
      </w:r>
    </w:p>
    <w:p>
      <w:pPr>
        <w:pStyle w:val="ListParagraph"/>
        <w:numPr>
          <w:ilvl w:val="0"/>
          <w:numId w:val="1"/>
        </w:numPr>
        <w:spacing w:lineRule="exact" w:line="280" w:before="40" w:after="40"/>
        <w:rPr/>
      </w:pPr>
      <w:r>
        <w:rPr>
          <w:rFonts w:eastAsia="Arial" w:cs="Arial"/>
          <w:color w:val="1A1A1A"/>
          <w:sz w:val="22"/>
          <w:szCs w:val="22"/>
        </w:rPr>
        <w:t>Records Retention Schedule (ISMS-REG-010).</w:t>
      </w:r>
    </w:p>
    <w:p>
      <w:pPr>
        <w:pStyle w:val="ListParagraph"/>
        <w:numPr>
          <w:ilvl w:val="0"/>
          <w:numId w:val="1"/>
        </w:numPr>
        <w:spacing w:lineRule="exact" w:line="280" w:before="40" w:after="40"/>
        <w:rPr/>
      </w:pPr>
      <w:r>
        <w:rPr>
          <w:rFonts w:eastAsia="Arial" w:cs="Arial"/>
          <w:color w:val="1A1A1A"/>
          <w:sz w:val="22"/>
          <w:szCs w:val="22"/>
        </w:rPr>
        <w:t>Statement of Applicability (ISMS-SOA-001).</w:t>
      </w:r>
    </w:p>
    <w:p>
      <w:pPr>
        <w:pStyle w:val="Normal"/>
        <w:spacing w:lineRule="exact" w:line="300" w:before="80" w:after="120"/>
        <w:rPr/>
      </w:pPr>
      <w:r>
        <w:rPr>
          <w:rFonts w:eastAsia="Arial" w:cs="Arial"/>
          <w:color w:val="1A1A1A"/>
          <w:sz w:val="22"/>
          <w:szCs w:val="22"/>
        </w:rPr>
        <w:t>The full, current list is maintained in the ISMS Document Register (ISMS-REG-009). Where this Policy conflicts with any subordinate document, this Policy takes precedence.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7.5 Documented information; A.5.1 Policies for information security; A.5.37 Documented operating procedures</w:t>
      </w:r>
    </w:p>
    <w:p>
      <w:pPr>
        <w:pStyle w:val="Heading1"/>
        <w:spacing w:before="360" w:after="180"/>
        <w:rPr/>
      </w:pPr>
      <w:r>
        <w:rPr>
          <w:rFonts w:eastAsia="Arial" w:cs="Arial" w:ascii="Arial" w:hAnsi="Arial"/>
          <w:b/>
          <w:bCs/>
          <w:color w:val="0000FF"/>
          <w:sz w:val="36"/>
          <w:szCs w:val="36"/>
        </w:rPr>
        <w:t>17.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by the Information Security Lead, and at any earlier point where:</w:t>
      </w:r>
    </w:p>
    <w:p>
      <w:pPr>
        <w:pStyle w:val="ListParagraph"/>
        <w:numPr>
          <w:ilvl w:val="0"/>
          <w:numId w:val="1"/>
        </w:numPr>
        <w:spacing w:lineRule="exact" w:line="280" w:before="40" w:after="40"/>
        <w:rPr/>
      </w:pPr>
      <w:r>
        <w:rPr>
          <w:rFonts w:eastAsia="Arial" w:cs="Arial"/>
          <w:color w:val="1A1A1A"/>
          <w:sz w:val="22"/>
          <w:szCs w:val="22"/>
        </w:rPr>
        <w:t>There is a material change to the business, technology, services, or workforce of Cloudax.</w:t>
      </w:r>
    </w:p>
    <w:p>
      <w:pPr>
        <w:pStyle w:val="ListParagraph"/>
        <w:numPr>
          <w:ilvl w:val="0"/>
          <w:numId w:val="1"/>
        </w:numPr>
        <w:spacing w:lineRule="exact" w:line="280" w:before="40" w:after="40"/>
        <w:rPr/>
      </w:pPr>
      <w:r>
        <w:rPr>
          <w:rFonts w:eastAsia="Arial" w:cs="Arial"/>
          <w:color w:val="1A1A1A"/>
          <w:sz w:val="22"/>
          <w:szCs w:val="22"/>
        </w:rPr>
        <w:t>There is a material change to the legal, regulatory, or contractual environment.</w:t>
      </w:r>
    </w:p>
    <w:p>
      <w:pPr>
        <w:pStyle w:val="ListParagraph"/>
        <w:numPr>
          <w:ilvl w:val="0"/>
          <w:numId w:val="1"/>
        </w:numPr>
        <w:spacing w:lineRule="exact" w:line="280" w:before="40" w:after="40"/>
        <w:rPr/>
      </w:pPr>
      <w:r>
        <w:rPr>
          <w:rFonts w:eastAsia="Arial" w:cs="Arial"/>
          <w:color w:val="1A1A1A"/>
          <w:sz w:val="22"/>
          <w:szCs w:val="22"/>
        </w:rPr>
        <w:t>Monitoring, audit, management review, or incident analysis identifies a need for change.</w:t>
      </w:r>
    </w:p>
    <w:p>
      <w:pPr>
        <w:pStyle w:val="ListParagraph"/>
        <w:numPr>
          <w:ilvl w:val="0"/>
          <w:numId w:val="1"/>
        </w:numPr>
        <w:spacing w:lineRule="exact" w:line="280" w:before="40" w:after="40"/>
        <w:rPr/>
      </w:pPr>
      <w:r>
        <w:rPr>
          <w:rFonts w:eastAsia="Arial" w:cs="Arial"/>
          <w:color w:val="1A1A1A"/>
          <w:sz w:val="22"/>
          <w:szCs w:val="22"/>
        </w:rPr>
        <w:t>Changes are required to maintain alignment with ISO/IEC 27001:2022 and the Statement of Applicability.</w:t>
      </w:r>
    </w:p>
    <w:p>
      <w:pPr>
        <w:pStyle w:val="Normal"/>
        <w:spacing w:lineRule="exact" w:line="300" w:before="80" w:after="120"/>
        <w:rPr/>
      </w:pPr>
      <w:r>
        <w:rPr>
          <w:rFonts w:eastAsia="Arial" w:cs="Arial"/>
          <w:color w:val="1A1A1A"/>
          <w:sz w:val="22"/>
          <w:szCs w:val="22"/>
        </w:rPr>
        <w:t>Material changes are approved by the Managing Director. All changes are recorded in the version history (Annex B) and communicated to personnel through the channels defined in the Awareness, Training, and Competence Procedure.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Clause 7.5 Documented information; Clause 9.3 Management review; A.5.1 Policies for information security</w:t>
      </w:r>
    </w:p>
    <w:p>
      <w:pPr>
        <w:pStyle w:val="Heading1"/>
        <w:spacing w:before="360" w:after="180"/>
        <w:rPr/>
      </w:pPr>
      <w:r>
        <w:rPr>
          <w:rFonts w:eastAsia="Arial" w:cs="Arial" w:ascii="Arial" w:hAnsi="Arial"/>
          <w:b/>
          <w:bCs/>
          <w:color w:val="0000FF"/>
          <w:sz w:val="36"/>
          <w:szCs w:val="36"/>
        </w:rPr>
        <w:t>18.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w:t>
      </w:r>
    </w:p>
    <w:p>
      <w:pPr>
        <w:pStyle w:val="ListParagraph"/>
        <w:numPr>
          <w:ilvl w:val="0"/>
          <w:numId w:val="1"/>
        </w:numPr>
        <w:spacing w:lineRule="exact" w:line="280" w:before="40" w:after="40"/>
        <w:rPr/>
      </w:pPr>
      <w:r>
        <w:rPr>
          <w:rFonts w:eastAsia="Arial" w:cs="Arial"/>
          <w:color w:val="1A1A1A"/>
          <w:sz w:val="22"/>
          <w:szCs w:val="22"/>
        </w:rPr>
        <w:t>On commencement of employment or engagement with Cloudax.</w:t>
      </w:r>
    </w:p>
    <w:p>
      <w:pPr>
        <w:pStyle w:val="ListParagraph"/>
        <w:numPr>
          <w:ilvl w:val="0"/>
          <w:numId w:val="1"/>
        </w:numPr>
        <w:spacing w:lineRule="exact" w:line="280" w:before="40" w:after="40"/>
        <w:rPr/>
      </w:pPr>
      <w:r>
        <w:rPr>
          <w:rFonts w:eastAsia="Arial" w:cs="Arial"/>
          <w:color w:val="1A1A1A"/>
          <w:sz w:val="22"/>
          <w:szCs w:val="22"/>
        </w:rPr>
        <w:t>Whenever a material change is made to the Policy.</w:t>
      </w:r>
    </w:p>
    <w:p>
      <w:pPr>
        <w:pStyle w:val="ListParagraph"/>
        <w:numPr>
          <w:ilvl w:val="0"/>
          <w:numId w:val="1"/>
        </w:numPr>
        <w:spacing w:lineRule="exact" w:line="280" w:before="40" w:after="40"/>
        <w:rPr/>
      </w:pPr>
      <w:r>
        <w:rPr>
          <w:rFonts w:eastAsia="Arial" w:cs="Arial"/>
          <w:color w:val="1A1A1A"/>
          <w:sz w:val="22"/>
          <w:szCs w:val="22"/>
        </w:rPr>
        <w:t>On request by the Information Security Lead, for example as part of a periodic re-affirmation exercise.</w:t>
      </w:r>
    </w:p>
    <w:p>
      <w:pPr>
        <w:pStyle w:val="Normal"/>
        <w:spacing w:lineRule="exact" w:line="300" w:before="80" w:after="120"/>
        <w:rPr/>
      </w:pPr>
      <w:r>
        <w:rPr>
          <w:rFonts w:eastAsia="Arial" w:cs="Arial"/>
          <w:color w:val="1A1A1A"/>
          <w:sz w:val="22"/>
          <w:szCs w:val="22"/>
        </w:rPr>
        <w:t>Acknowledgements are recorded centrally and retained as ISMS evidence in accordance with the Records Retention Schedule.</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Mapping to ISO/IEC 27001:2022</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annex provides a reference mapping between the sections of this Policy and the clauses and Annex A controls of ISO/IEC 27001:2022. The authoritative list of applicable controls, and the justification for their applicability, is the Statement of Applicability.</w:t>
      </w:r>
    </w:p>
    <w:tbl>
      <w:tblPr>
        <w:tblW w:w="9026" w:type="dxa"/>
        <w:jc w:val="start"/>
        <w:tblInd w:w="0" w:type="dxa"/>
        <w:tblLayout w:type="fixed"/>
        <w:tblCellMar>
          <w:top w:w="120" w:type="dxa"/>
          <w:start w:w="160" w:type="dxa"/>
          <w:bottom w:w="120" w:type="dxa"/>
          <w:end w:w="16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POLICY SECTION</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ISO 27001:2022 REFERENCES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MD Statement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Clauses 5.1, 5.2; A.5.1, A.5.4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 Purpose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 5.2; A.5.1</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2. Scope of the ISMS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Clauses 4.3, 4.4; A.5.9</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3. Context and Interested Parties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Clauses 4.1, 4.2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5. Objectives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Clauses 6.2, 9.1, 9.3</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6. Leadership</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Clauses 5.1, 5.2, 5.3; A.5.1, A.5.4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7. Roles and Responsibilities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 5.3; A.5.2, A.5.4, A.6.2</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8. Risk Management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Clauses 6.1, 8.2, 8.3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9.1 Organisational Controls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A.5.1–A.5.37</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9.2 People Controls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A.6.1–A.6.8</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9.3 Physical Controls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A.7.1–A.7.14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9.4 Technological Controls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A.8.1–A.8.34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10. Incident and Continuity</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A.5.24–A.5.30; A.6.8; A.8.13, A.8.14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11. Supplier Security</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A.5.19–A.5.23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12. Legal and Contractual</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A.5.31–A.5.37</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13. Awareness and Training</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Clauses 7.1–7.4; A.6.3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14. Performance Evaluation</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Clauses 9.1, 9.2, 9.3; A.5.35, A.5.36</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15. Continual Improvement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Clauses 10.1, 10.2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16. Policy Framework</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 7.5; A.5.1, A.5.37</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17. Review and Maintenance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Clauses 7.5, 9.3; A.5.1</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18. Acknowledgement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A.6.2, A.6.3; A.5.36</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Previously</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Information Security Policy.</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2.0</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Rewritten to align with ISO/IEC 27001:2022. Added MD statement, context and interested parties, measurable objectives, control domains mapped to A.5–A.8, supplier and cloud clauses, AI references, Annex A mapping, and version history.</w:t>
            </w:r>
          </w:p>
        </w:tc>
      </w:tr>
    </w:tbl>
    <w:p>
      <w:pPr>
        <w:pStyle w:val="Normal"/>
        <w:spacing w:lineRule="exact" w:line="300" w:before="80" w:after="120"/>
        <w:rPr/>
      </w:pPr>
      <w:r>
        <w:rPr>
          <w:rFonts w:eastAsia="Arial" w:cs="Arial"/>
          <w:color w:val="1A1A1A"/>
          <w:sz w:val="22"/>
          <w:szCs w:val="22"/>
        </w:rPr>
        <w:t>Interim drafts, review comments, and approval records are retained separately in the ISMS document repository as part of the documented information required by Clause 7.5 of ISO/IEC 27001:2022.</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ISMS-POL-001 Information Security Policy  •  Internal  </w:t>
      <w:tab/>
      <w:t>v2.0  •  April 2026</w:t>
      <w:tab/>
      <w:t xml:space="preserve">Page </w:t>
    </w:r>
    <w:r>
      <w:rPr/>
      <w:fldChar w:fldCharType="begin"/>
    </w:r>
    <w:r>
      <w:rPr/>
      <w:instrText xml:space="preserve"> PAGE </w:instrText>
    </w:r>
    <w:r>
      <w:rPr/>
      <w:fldChar w:fldCharType="separate"/>
    </w:r>
    <w:r>
      <w:rPr/>
      <w:t>17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ISMS-POL-001 Information Security Policy  •  Internal  </w:t>
      <w:tab/>
      <w:t>v2.0  •  April 2026</w:t>
      <w:tab/>
      <w:t xml:space="preserve">Page </w:t>
    </w:r>
    <w:r>
      <w:rPr/>
      <w:fldChar w:fldCharType="begin"/>
    </w:r>
    <w:r>
      <w:rPr/>
      <w:instrText xml:space="preserve"> PAGE </w:instrText>
    </w:r>
    <w:r>
      <w:rPr/>
      <w:fldChar w:fldCharType="separate"/>
    </w:r>
    <w:r>
      <w:rPr/>
      <w:t>17</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2026-04-29T07:33:39Z</dcterms:created>
  <dc:creator>David Stokes</dc:creator>
  <dc:description/>
  <dc:language>en-US</dc:language>
  <cp:lastModifiedBy>David Stokes</cp:lastModifiedBy>
  <dcterms:modified xsi:type="dcterms:W3CDTF">2026-04-29T10:25:39Z</dcterms:modified>
  <cp:revision>1</cp:revision>
  <dc:subject/>
  <dc:title>Cloudax Information Security Policy</dc:title>
</cp:coreProperties>
</file>