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Master Document List</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ISMS-MASTER-001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Master Document List</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Quarterly review of entries; annual review of structure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auditors and certification bodies</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How to Use This List</w:t>
      </w:r>
    </w:p>
    <w:p>
      <w:pPr>
        <w:pStyle w:val="Normal"/>
        <w:spacing w:before="40" w:after="40"/>
        <w:rPr/>
      </w:pPr>
      <w:r>
        <w:rPr>
          <w:rFonts w:eastAsia="Arial" w:cs="Arial"/>
          <w:color w:val="1A1A1A"/>
          <w:sz w:val="22"/>
          <w:szCs w:val="22"/>
        </w:rPr>
        <w:t>5. Document Numbering Convention</w:t>
      </w:r>
    </w:p>
    <w:p>
      <w:pPr>
        <w:pStyle w:val="Normal"/>
        <w:spacing w:before="40" w:after="40"/>
        <w:rPr/>
      </w:pPr>
      <w:r>
        <w:rPr>
          <w:rFonts w:eastAsia="Arial" w:cs="Arial"/>
          <w:color w:val="1A1A1A"/>
          <w:sz w:val="22"/>
          <w:szCs w:val="22"/>
        </w:rPr>
        <w:t>6. Tier Structure</w:t>
      </w:r>
    </w:p>
    <w:p>
      <w:pPr>
        <w:pStyle w:val="Normal"/>
        <w:spacing w:before="40" w:after="40"/>
        <w:rPr/>
      </w:pPr>
      <w:r>
        <w:rPr>
          <w:rFonts w:eastAsia="Arial" w:cs="Arial"/>
          <w:color w:val="1A1A1A"/>
          <w:sz w:val="22"/>
          <w:szCs w:val="22"/>
        </w:rPr>
        <w:t>7. Status Conventions</w:t>
      </w:r>
    </w:p>
    <w:p>
      <w:pPr>
        <w:pStyle w:val="Normal"/>
        <w:spacing w:before="40" w:after="40"/>
        <w:rPr/>
      </w:pPr>
      <w:r>
        <w:rPr>
          <w:rFonts w:eastAsia="Arial" w:cs="Arial"/>
          <w:color w:val="1A1A1A"/>
          <w:sz w:val="22"/>
          <w:szCs w:val="22"/>
        </w:rPr>
        <w:t>8. Roles and Responsibilities</w:t>
      </w:r>
    </w:p>
    <w:p>
      <w:pPr>
        <w:pStyle w:val="Normal"/>
        <w:spacing w:before="40" w:after="40"/>
        <w:rPr/>
      </w:pPr>
      <w:r>
        <w:rPr>
          <w:rFonts w:eastAsia="Arial" w:cs="Arial"/>
          <w:color w:val="1A1A1A"/>
          <w:sz w:val="22"/>
          <w:szCs w:val="22"/>
        </w:rPr>
        <w:t>9. The Master Document List</w:t>
      </w:r>
    </w:p>
    <w:p>
      <w:pPr>
        <w:pStyle w:val="Normal"/>
        <w:spacing w:before="40" w:after="40"/>
        <w:rPr/>
      </w:pPr>
      <w:r>
        <w:rPr>
          <w:rFonts w:eastAsia="Arial" w:cs="Arial"/>
          <w:color w:val="1A1A1A"/>
          <w:sz w:val="22"/>
          <w:szCs w:val="22"/>
        </w:rPr>
        <w:t xml:space="preserve">   </w:t>
      </w:r>
      <w:r>
        <w:rPr>
          <w:rFonts w:eastAsia="Arial" w:cs="Arial"/>
          <w:color w:val="1A1A1A"/>
          <w:sz w:val="22"/>
          <w:szCs w:val="22"/>
        </w:rPr>
        <w:t>9.1 Tier 1 — Apex Policy</w:t>
      </w:r>
    </w:p>
    <w:p>
      <w:pPr>
        <w:pStyle w:val="Normal"/>
        <w:spacing w:before="40" w:after="40"/>
        <w:rPr/>
      </w:pPr>
      <w:r>
        <w:rPr>
          <w:rFonts w:eastAsia="Arial" w:cs="Arial"/>
          <w:color w:val="1A1A1A"/>
          <w:sz w:val="22"/>
          <w:szCs w:val="22"/>
        </w:rPr>
        <w:t xml:space="preserve">   </w:t>
      </w:r>
      <w:r>
        <w:rPr>
          <w:rFonts w:eastAsia="Arial" w:cs="Arial"/>
          <w:color w:val="1A1A1A"/>
          <w:sz w:val="22"/>
          <w:szCs w:val="22"/>
        </w:rPr>
        <w:t>9.2 Tier 2 — Core ISMS Documents</w:t>
      </w:r>
    </w:p>
    <w:p>
      <w:pPr>
        <w:pStyle w:val="Normal"/>
        <w:spacing w:before="40" w:after="40"/>
        <w:rPr/>
      </w:pPr>
      <w:r>
        <w:rPr>
          <w:rFonts w:eastAsia="Arial" w:cs="Arial"/>
          <w:color w:val="1A1A1A"/>
          <w:sz w:val="22"/>
          <w:szCs w:val="22"/>
        </w:rPr>
        <w:t xml:space="preserve">   </w:t>
      </w:r>
      <w:r>
        <w:rPr>
          <w:rFonts w:eastAsia="Arial" w:cs="Arial"/>
          <w:color w:val="1A1A1A"/>
          <w:sz w:val="22"/>
          <w:szCs w:val="22"/>
        </w:rPr>
        <w:t>9.3 Tier 3 — Plans and Programmes</w:t>
      </w:r>
    </w:p>
    <w:p>
      <w:pPr>
        <w:pStyle w:val="Normal"/>
        <w:spacing w:before="40" w:after="40"/>
        <w:rPr/>
      </w:pPr>
      <w:r>
        <w:rPr>
          <w:rFonts w:eastAsia="Arial" w:cs="Arial"/>
          <w:color w:val="1A1A1A"/>
          <w:sz w:val="22"/>
          <w:szCs w:val="22"/>
        </w:rPr>
        <w:t xml:space="preserve">   </w:t>
      </w:r>
      <w:r>
        <w:rPr>
          <w:rFonts w:eastAsia="Arial" w:cs="Arial"/>
          <w:color w:val="1A1A1A"/>
          <w:sz w:val="22"/>
          <w:szCs w:val="22"/>
        </w:rPr>
        <w:t>9.4 Tier 4 — Subordinate Policies</w:t>
      </w:r>
    </w:p>
    <w:p>
      <w:pPr>
        <w:pStyle w:val="Normal"/>
        <w:spacing w:before="40" w:after="40"/>
        <w:rPr/>
      </w:pPr>
      <w:r>
        <w:rPr>
          <w:rFonts w:eastAsia="Arial" w:cs="Arial"/>
          <w:color w:val="1A1A1A"/>
          <w:sz w:val="22"/>
          <w:szCs w:val="22"/>
        </w:rPr>
        <w:t xml:space="preserve">   </w:t>
      </w:r>
      <w:r>
        <w:rPr>
          <w:rFonts w:eastAsia="Arial" w:cs="Arial"/>
          <w:color w:val="1A1A1A"/>
          <w:sz w:val="22"/>
          <w:szCs w:val="22"/>
        </w:rPr>
        <w:t>9.5 Tier 5 — Procedures, Registers, and Governance Records</w:t>
      </w:r>
    </w:p>
    <w:p>
      <w:pPr>
        <w:pStyle w:val="Normal"/>
        <w:spacing w:before="40" w:after="40"/>
        <w:rPr/>
      </w:pPr>
      <w:r>
        <w:rPr>
          <w:rFonts w:eastAsia="Arial" w:cs="Arial"/>
          <w:color w:val="1A1A1A"/>
          <w:sz w:val="22"/>
          <w:szCs w:val="22"/>
        </w:rPr>
        <w:t>10. Summary by Tier</w:t>
      </w:r>
    </w:p>
    <w:p>
      <w:pPr>
        <w:pStyle w:val="Normal"/>
        <w:spacing w:before="40" w:after="40"/>
        <w:rPr/>
      </w:pPr>
      <w:r>
        <w:rPr>
          <w:rFonts w:eastAsia="Arial" w:cs="Arial"/>
          <w:color w:val="1A1A1A"/>
          <w:sz w:val="22"/>
          <w:szCs w:val="22"/>
        </w:rPr>
        <w:t>11. Annex A Coverage Summary</w:t>
      </w:r>
    </w:p>
    <w:p>
      <w:pPr>
        <w:pStyle w:val="Normal"/>
        <w:spacing w:before="40" w:after="40"/>
        <w:rPr/>
      </w:pPr>
      <w:r>
        <w:rPr>
          <w:rFonts w:eastAsia="Arial" w:cs="Arial"/>
          <w:color w:val="1A1A1A"/>
          <w:sz w:val="22"/>
          <w:szCs w:val="22"/>
        </w:rPr>
        <w:t>12. Maintenance</w:t>
      </w:r>
    </w:p>
    <w:p>
      <w:pPr>
        <w:pStyle w:val="Normal"/>
        <w:spacing w:before="40" w:after="40"/>
        <w:rPr/>
      </w:pPr>
      <w:r>
        <w:rPr>
          <w:rFonts w:eastAsia="Arial" w:cs="Arial"/>
          <w:color w:val="1A1A1A"/>
          <w:sz w:val="22"/>
          <w:szCs w:val="22"/>
        </w:rPr>
        <w:t>13. Acknowledgement</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Master Document List is the controlled, authoritative inventory of every document that forms the Cloudax Information Security Management System (ISMS). It identifies, classifies, and tracks the version of each document, and records the relationship of each document to the ISMS map (ISMS-MAP-001), the Statement of Applicability (ISMS-SOA-001), and the controls and clauses of ISO/IEC 27001:2022.</w:t>
      </w:r>
    </w:p>
    <w:p>
      <w:pPr>
        <w:pStyle w:val="Normal"/>
        <w:spacing w:lineRule="exact" w:line="300" w:before="80" w:after="120"/>
        <w:rPr/>
      </w:pPr>
      <w:r>
        <w:rPr>
          <w:rFonts w:eastAsia="Arial" w:cs="Arial"/>
          <w:color w:val="1A1A1A"/>
          <w:sz w:val="22"/>
          <w:szCs w:val="22"/>
        </w:rPr>
        <w:t>It supports Clause 7.5 of ISO/IEC 27001:2022 (Documented information — control of documented information) by providing a single point of reference for the existence, currency, and version of every ISMS document.</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 7.5 Documented information; supports A.5.37 Documented operating procedures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list covers all documented information that forms the Cloudax ISMS, including:</w:t>
      </w:r>
    </w:p>
    <w:p>
      <w:pPr>
        <w:pStyle w:val="ListParagraph"/>
        <w:numPr>
          <w:ilvl w:val="0"/>
          <w:numId w:val="3"/>
        </w:numPr>
        <w:spacing w:lineRule="exact" w:line="280" w:before="40" w:after="40"/>
        <w:rPr/>
      </w:pPr>
      <w:r>
        <w:rPr>
          <w:rFonts w:eastAsia="Arial" w:cs="Arial"/>
          <w:color w:val="1A1A1A"/>
          <w:sz w:val="22"/>
          <w:szCs w:val="22"/>
        </w:rPr>
        <w:t>The apex Information Security Policy (POL-001).</w:t>
      </w:r>
    </w:p>
    <w:p>
      <w:pPr>
        <w:pStyle w:val="ListParagraph"/>
        <w:numPr>
          <w:ilvl w:val="0"/>
          <w:numId w:val="1"/>
        </w:numPr>
        <w:spacing w:lineRule="exact" w:line="280" w:before="40" w:after="40"/>
        <w:rPr/>
      </w:pPr>
      <w:r>
        <w:rPr>
          <w:rFonts w:eastAsia="Arial" w:cs="Arial"/>
          <w:color w:val="1A1A1A"/>
          <w:sz w:val="22"/>
          <w:szCs w:val="22"/>
        </w:rPr>
        <w:t>Core ISMS documents required by ISO/IEC 27001:2022 Clauses 4 to 10.</w:t>
      </w:r>
    </w:p>
    <w:p>
      <w:pPr>
        <w:pStyle w:val="ListParagraph"/>
        <w:numPr>
          <w:ilvl w:val="0"/>
          <w:numId w:val="1"/>
        </w:numPr>
        <w:spacing w:lineRule="exact" w:line="280" w:before="40" w:after="40"/>
        <w:rPr/>
      </w:pPr>
      <w:r>
        <w:rPr>
          <w:rFonts w:eastAsia="Arial" w:cs="Arial"/>
          <w:color w:val="1A1A1A"/>
          <w:sz w:val="22"/>
          <w:szCs w:val="22"/>
        </w:rPr>
        <w:t>Plans, programmes, and policies giving effect to the controls in the Statement of Applicability.</w:t>
      </w:r>
    </w:p>
    <w:p>
      <w:pPr>
        <w:pStyle w:val="ListParagraph"/>
        <w:numPr>
          <w:ilvl w:val="0"/>
          <w:numId w:val="1"/>
        </w:numPr>
        <w:spacing w:lineRule="exact" w:line="280" w:before="40" w:after="40"/>
        <w:rPr/>
      </w:pPr>
      <w:r>
        <w:rPr>
          <w:rFonts w:eastAsia="Arial" w:cs="Arial"/>
          <w:color w:val="1A1A1A"/>
          <w:sz w:val="22"/>
          <w:szCs w:val="22"/>
        </w:rPr>
        <w:t>Procedures, registers, and governance records that operationalise the policy framework.</w:t>
      </w:r>
    </w:p>
    <w:p>
      <w:pPr>
        <w:pStyle w:val="Normal"/>
        <w:spacing w:lineRule="exact" w:line="300" w:before="80" w:after="120"/>
        <w:rPr/>
      </w:pPr>
      <w:r>
        <w:rPr>
          <w:rFonts w:eastAsia="Arial" w:cs="Arial"/>
          <w:color w:val="1A1A1A"/>
          <w:sz w:val="22"/>
          <w:szCs w:val="22"/>
        </w:rPr>
        <w:t>It does not list operational records produced by the ISMS in life (e.g. individual training records, individual incident records, individual change records). Those records are governed by POL-009 Records Retention Policy and held in the relevant operational system.</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Document: </w:t>
      </w:r>
      <w:r>
        <w:rPr>
          <w:rFonts w:eastAsia="Arial" w:cs="Arial"/>
          <w:color w:val="1A1A1A"/>
          <w:sz w:val="22"/>
          <w:szCs w:val="22"/>
        </w:rPr>
        <w:t>a controlled item of documented information that forms part of the ISMS, e.g. a policy, procedure, register, plan, or programme.</w:t>
      </w:r>
    </w:p>
    <w:p>
      <w:pPr>
        <w:pStyle w:val="ListParagraph"/>
        <w:numPr>
          <w:ilvl w:val="0"/>
          <w:numId w:val="1"/>
        </w:numPr>
        <w:spacing w:lineRule="exact" w:line="280" w:before="40" w:after="40"/>
        <w:rPr/>
      </w:pPr>
      <w:r>
        <w:rPr>
          <w:rFonts w:eastAsia="Arial" w:cs="Arial"/>
          <w:b/>
          <w:bCs/>
          <w:color w:val="1A1A1A"/>
          <w:sz w:val="22"/>
          <w:szCs w:val="22"/>
        </w:rPr>
        <w:t xml:space="preserve">Document ID: </w:t>
      </w:r>
      <w:r>
        <w:rPr>
          <w:rFonts w:eastAsia="Arial" w:cs="Arial"/>
          <w:color w:val="1A1A1A"/>
          <w:sz w:val="22"/>
          <w:szCs w:val="22"/>
        </w:rPr>
        <w:t>a unique controlled identifier in the form TYPE-NUMBER (e.g. POL-001, PRO-005, REG-IAR-001).</w:t>
      </w:r>
    </w:p>
    <w:p>
      <w:pPr>
        <w:pStyle w:val="ListParagraph"/>
        <w:numPr>
          <w:ilvl w:val="0"/>
          <w:numId w:val="1"/>
        </w:numPr>
        <w:spacing w:lineRule="exact" w:line="280" w:before="40" w:after="40"/>
        <w:rPr/>
      </w:pPr>
      <w:r>
        <w:rPr>
          <w:rFonts w:eastAsia="Arial" w:cs="Arial"/>
          <w:b/>
          <w:bCs/>
          <w:color w:val="1A1A1A"/>
          <w:sz w:val="22"/>
          <w:szCs w:val="22"/>
        </w:rPr>
        <w:t xml:space="preserve">Tier: </w:t>
      </w:r>
      <w:r>
        <w:rPr>
          <w:rFonts w:eastAsia="Arial" w:cs="Arial"/>
          <w:color w:val="1A1A1A"/>
          <w:sz w:val="22"/>
          <w:szCs w:val="22"/>
        </w:rPr>
        <w:t>the level of the document in the ISMS hierarchy as defined in ISMS-MAP-001 v1.0.</w:t>
      </w:r>
    </w:p>
    <w:p>
      <w:pPr>
        <w:pStyle w:val="ListParagraph"/>
        <w:numPr>
          <w:ilvl w:val="0"/>
          <w:numId w:val="1"/>
        </w:numPr>
        <w:spacing w:lineRule="exact" w:line="280" w:before="40" w:after="40"/>
        <w:rPr/>
      </w:pPr>
      <w:r>
        <w:rPr>
          <w:rFonts w:eastAsia="Arial" w:cs="Arial"/>
          <w:b/>
          <w:bCs/>
          <w:color w:val="1A1A1A"/>
          <w:sz w:val="22"/>
          <w:szCs w:val="22"/>
        </w:rPr>
        <w:t xml:space="preserve">Version: </w:t>
      </w:r>
      <w:r>
        <w:rPr>
          <w:rFonts w:eastAsia="Arial" w:cs="Arial"/>
          <w:color w:val="1A1A1A"/>
          <w:sz w:val="22"/>
          <w:szCs w:val="22"/>
        </w:rPr>
        <w:t>the controlled version number of the document. Material changes increment the version.</w:t>
      </w:r>
    </w:p>
    <w:p>
      <w:pPr>
        <w:pStyle w:val="Heading1"/>
        <w:spacing w:before="360" w:after="180"/>
        <w:rPr/>
      </w:pPr>
      <w:r>
        <w:rPr>
          <w:rFonts w:eastAsia="Arial" w:cs="Arial" w:ascii="Arial" w:hAnsi="Arial"/>
          <w:b/>
          <w:bCs/>
          <w:color w:val="0000FF"/>
          <w:sz w:val="36"/>
          <w:szCs w:val="36"/>
        </w:rPr>
        <w:t>4. How to Use This List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list is the authoritative reference for whether a document exists in the Cloudax ISMS, what version it is at, and which control or clause it gives effect to.</w:t>
      </w:r>
    </w:p>
    <w:p>
      <w:pPr>
        <w:pStyle w:val="ListParagraph"/>
        <w:numPr>
          <w:ilvl w:val="0"/>
          <w:numId w:val="1"/>
        </w:numPr>
        <w:spacing w:lineRule="exact" w:line="280" w:before="40" w:after="40"/>
        <w:rPr/>
      </w:pPr>
      <w:r>
        <w:rPr>
          <w:rFonts w:eastAsia="Arial" w:cs="Arial"/>
          <w:color w:val="1A1A1A"/>
          <w:sz w:val="22"/>
          <w:szCs w:val="22"/>
        </w:rPr>
        <w:t>When citing a document, always use the Document ID, the title, and the version (e.g. POL-002 Access Control Policy v1.0).</w:t>
      </w:r>
    </w:p>
    <w:p>
      <w:pPr>
        <w:pStyle w:val="ListParagraph"/>
        <w:numPr>
          <w:ilvl w:val="0"/>
          <w:numId w:val="1"/>
        </w:numPr>
        <w:spacing w:lineRule="exact" w:line="280" w:before="40" w:after="40"/>
        <w:rPr/>
      </w:pPr>
      <w:r>
        <w:rPr>
          <w:rFonts w:eastAsia="Arial" w:cs="Arial"/>
          <w:color w:val="1A1A1A"/>
          <w:sz w:val="22"/>
          <w:szCs w:val="22"/>
        </w:rPr>
        <w:t>When introducing a new document, add it to this list at issue and update the SoA where applicable.</w:t>
      </w:r>
    </w:p>
    <w:p>
      <w:pPr>
        <w:pStyle w:val="ListParagraph"/>
        <w:numPr>
          <w:ilvl w:val="0"/>
          <w:numId w:val="1"/>
        </w:numPr>
        <w:spacing w:lineRule="exact" w:line="280" w:before="40" w:after="40"/>
        <w:rPr/>
      </w:pPr>
      <w:r>
        <w:rPr>
          <w:rFonts w:eastAsia="Arial" w:cs="Arial"/>
          <w:color w:val="1A1A1A"/>
          <w:sz w:val="22"/>
          <w:szCs w:val="22"/>
        </w:rPr>
        <w:t>When a document is superseded or withdrawn, the entry is updated in this list with the closure date — entries are not deleted.</w:t>
      </w:r>
    </w:p>
    <w:p>
      <w:pPr>
        <w:pStyle w:val="ListParagraph"/>
        <w:numPr>
          <w:ilvl w:val="0"/>
          <w:numId w:val="1"/>
        </w:numPr>
        <w:spacing w:lineRule="exact" w:line="280" w:before="40" w:after="40"/>
        <w:rPr/>
      </w:pPr>
      <w:r>
        <w:rPr>
          <w:rFonts w:eastAsia="Arial" w:cs="Arial"/>
          <w:color w:val="1A1A1A"/>
          <w:sz w:val="22"/>
          <w:szCs w:val="22"/>
        </w:rPr>
        <w:t>Auditors and certification bodies may be provided this list as the index to the ISMS evidence pack.</w:t>
      </w:r>
    </w:p>
    <w:p>
      <w:pPr>
        <w:pStyle w:val="Heading1"/>
        <w:spacing w:before="360" w:after="180"/>
        <w:rPr/>
      </w:pPr>
      <w:r>
        <w:rPr>
          <w:rFonts w:eastAsia="Arial" w:cs="Arial" w:ascii="Arial" w:hAnsi="Arial"/>
          <w:b/>
          <w:bCs/>
          <w:color w:val="0000FF"/>
          <w:sz w:val="36"/>
          <w:szCs w:val="36"/>
        </w:rPr>
        <w:t>5. Document Numbering Convention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Document IDs follow the convention defined in ISMS-MAP-001 v1.0:</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1500"/>
        <w:gridCol w:w="2399"/>
        <w:gridCol w:w="4500"/>
        <w:gridCol w:w="60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PREFIX</w:t>
            </w:r>
          </w:p>
        </w:tc>
        <w:tc>
          <w:tcPr>
            <w:tcW w:w="23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4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EXAMPLE</w:t>
            </w:r>
          </w:p>
        </w:tc>
        <w:tc>
          <w:tcPr>
            <w:tcW w:w="6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PURPOSE</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Policy</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POL-001 Information Security Policy</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and subordinate policies setting out the rules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ISMS</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Core ISMS document</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ISMS-SOA-001 Statement of Applicability</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Documents required by the standard’s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PLAN</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PLAN-IRP-001 Incident Response Plan</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Operational plans for incident, continuity, and recovery</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PROG</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Programme</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PROG-AUDIT-001 Internal Audit Programme</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Recurring programmes (audit, training, compliance)</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PRO-005 Joiner, Mover, Leaver Procedure</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How-to procedures operationalising the policies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REG</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Register</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REG-IAR-001 Information Asset Register</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Living datasets that evidence ongoing compliance</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MGT</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Management record</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MGT-MR-LOG Management Review Log</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Cumulative records of management activity</w:t>
            </w:r>
          </w:p>
        </w:tc>
      </w:tr>
    </w:tbl>
    <w:p>
      <w:pPr>
        <w:pStyle w:val="Heading1"/>
        <w:spacing w:before="360" w:after="180"/>
        <w:rPr/>
      </w:pPr>
      <w:r>
        <w:rPr>
          <w:rFonts w:eastAsia="Arial" w:cs="Arial" w:ascii="Arial" w:hAnsi="Arial"/>
          <w:b/>
          <w:bCs/>
          <w:color w:val="0000FF"/>
          <w:sz w:val="36"/>
          <w:szCs w:val="36"/>
        </w:rPr>
        <w:t>6. Tier Structure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Documents are organised into five tiers, reflecting their position in the ISMS hierarchy:</w:t>
      </w:r>
    </w:p>
    <w:p>
      <w:pPr>
        <w:pStyle w:val="Normal"/>
        <w:spacing w:before="60" w:after="60"/>
        <w:rPr/>
      </w:pPr>
      <w:r>
        <w:rPr/>
      </w:r>
    </w:p>
    <w:tbl>
      <w:tblPr>
        <w:tblW w:w="12400" w:type="dxa"/>
        <w:jc w:val="start"/>
        <w:tblInd w:w="0" w:type="dxa"/>
        <w:tblLayout w:type="fixed"/>
        <w:tblCellMar>
          <w:top w:w="80" w:type="dxa"/>
          <w:start w:w="120" w:type="dxa"/>
          <w:bottom w:w="80" w:type="dxa"/>
          <w:end w:w="120" w:type="dxa"/>
        </w:tblCellMar>
      </w:tblPr>
      <w:tblGrid>
        <w:gridCol w:w="1099"/>
        <w:gridCol w:w="2701"/>
        <w:gridCol w:w="5999"/>
        <w:gridCol w:w="2600"/>
      </w:tblGrid>
      <w:tr>
        <w:trPr>
          <w:tblHeader w:val="true"/>
        </w:trPr>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TIER</w:t>
            </w:r>
          </w:p>
        </w:tc>
        <w:tc>
          <w:tcPr>
            <w:tcW w:w="2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DESCRIPTION</w:t>
            </w:r>
          </w:p>
        </w:tc>
        <w:tc>
          <w:tcPr>
            <w:tcW w:w="5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TYPICAL CONTENTS</w:t>
            </w:r>
          </w:p>
        </w:tc>
        <w:tc>
          <w:tcPr>
            <w:tcW w:w="2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APPROVER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1</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policy</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POL-001 Information Security Policy — the foundation document approved by top management</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2</w:t>
            </w:r>
          </w:p>
        </w:tc>
        <w:tc>
          <w:tcPr>
            <w:tcW w:w="2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Core ISMS documents</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Scope, SoA, Risk Methodology, RTP, Objectives, Risk Register — the documents named by the ISO/IEC 27001:2022 clauses</w:t>
            </w:r>
          </w:p>
        </w:tc>
        <w:tc>
          <w:tcPr>
            <w:tcW w:w="2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3</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Plans and programmes</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Incident Response, Business Continuity, Disaster Recovery; Audit, Compliance, Training programmes</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4</w:t>
            </w:r>
          </w:p>
        </w:tc>
        <w:tc>
          <w:tcPr>
            <w:tcW w:w="2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policies</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POL-002 to POL-025 — the per-domain policies giving effect to Annex A controls</w:t>
            </w:r>
          </w:p>
        </w:tc>
        <w:tc>
          <w:tcPr>
            <w:tcW w:w="2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5</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Procedures, registers, and governance records</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PRO-xxx procedures; REG-xxx registers; ISMS-RACI-001; MGT-MR-LOG</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Information Security Manager</w:t>
            </w:r>
          </w:p>
        </w:tc>
      </w:tr>
    </w:tbl>
    <w:p>
      <w:pPr>
        <w:pStyle w:val="Heading1"/>
        <w:spacing w:before="360" w:after="180"/>
        <w:rPr/>
      </w:pPr>
      <w:r>
        <w:rPr>
          <w:rFonts w:eastAsia="Arial" w:cs="Arial" w:ascii="Arial" w:hAnsi="Arial"/>
          <w:b/>
          <w:bCs/>
          <w:color w:val="0000FF"/>
          <w:sz w:val="36"/>
          <w:szCs w:val="36"/>
        </w:rPr>
        <w:t>7. Status Conventions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Approved: </w:t>
      </w:r>
      <w:r>
        <w:rPr>
          <w:rFonts w:eastAsia="Arial" w:cs="Arial"/>
          <w:color w:val="1A1A1A"/>
          <w:sz w:val="22"/>
          <w:szCs w:val="22"/>
        </w:rPr>
        <w:t>the document is in force and is the authoritative reference.</w:t>
      </w:r>
    </w:p>
    <w:p>
      <w:pPr>
        <w:pStyle w:val="ListParagraph"/>
        <w:numPr>
          <w:ilvl w:val="0"/>
          <w:numId w:val="1"/>
        </w:numPr>
        <w:spacing w:lineRule="exact" w:line="280" w:before="40" w:after="40"/>
        <w:rPr/>
      </w:pPr>
      <w:r>
        <w:rPr>
          <w:rFonts w:eastAsia="Arial" w:cs="Arial"/>
          <w:b/>
          <w:bCs/>
          <w:color w:val="1A1A1A"/>
          <w:sz w:val="22"/>
          <w:szCs w:val="22"/>
        </w:rPr>
        <w:t xml:space="preserve">Draft: </w:t>
      </w:r>
      <w:r>
        <w:rPr>
          <w:rFonts w:eastAsia="Arial" w:cs="Arial"/>
          <w:color w:val="1A1A1A"/>
          <w:sz w:val="22"/>
          <w:szCs w:val="22"/>
        </w:rPr>
        <w:t>the document is under preparation and not yet authoritative.</w:t>
      </w:r>
    </w:p>
    <w:p>
      <w:pPr>
        <w:pStyle w:val="ListParagraph"/>
        <w:numPr>
          <w:ilvl w:val="0"/>
          <w:numId w:val="1"/>
        </w:numPr>
        <w:spacing w:lineRule="exact" w:line="280" w:before="40" w:after="40"/>
        <w:rPr/>
      </w:pPr>
      <w:r>
        <w:rPr>
          <w:rFonts w:eastAsia="Arial" w:cs="Arial"/>
          <w:b/>
          <w:bCs/>
          <w:color w:val="1A1A1A"/>
          <w:sz w:val="22"/>
          <w:szCs w:val="22"/>
        </w:rPr>
        <w:t xml:space="preserve">Superseded: </w:t>
      </w:r>
      <w:r>
        <w:rPr>
          <w:rFonts w:eastAsia="Arial" w:cs="Arial"/>
          <w:color w:val="1A1A1A"/>
          <w:sz w:val="22"/>
          <w:szCs w:val="22"/>
        </w:rPr>
        <w:t>the document has been replaced by a later version. The superseded version remains in this list with its closure date.</w:t>
      </w:r>
    </w:p>
    <w:p>
      <w:pPr>
        <w:pStyle w:val="ListParagraph"/>
        <w:numPr>
          <w:ilvl w:val="0"/>
          <w:numId w:val="1"/>
        </w:numPr>
        <w:spacing w:lineRule="exact" w:line="280" w:before="40" w:after="40"/>
        <w:rPr/>
      </w:pPr>
      <w:r>
        <w:rPr>
          <w:rFonts w:eastAsia="Arial" w:cs="Arial"/>
          <w:b/>
          <w:bCs/>
          <w:color w:val="1A1A1A"/>
          <w:sz w:val="22"/>
          <w:szCs w:val="22"/>
        </w:rPr>
        <w:t xml:space="preserve">Withdrawn: </w:t>
      </w:r>
      <w:r>
        <w:rPr>
          <w:rFonts w:eastAsia="Arial" w:cs="Arial"/>
          <w:color w:val="1A1A1A"/>
          <w:sz w:val="22"/>
          <w:szCs w:val="22"/>
        </w:rPr>
        <w:t>the document is no longer applicable; the closure date is recorded.</w:t>
      </w:r>
    </w:p>
    <w:p>
      <w:pPr>
        <w:pStyle w:val="Heading1"/>
        <w:spacing w:before="360" w:after="180"/>
        <w:rPr/>
      </w:pPr>
      <w:r>
        <w:rPr>
          <w:rFonts w:eastAsia="Arial" w:cs="Arial" w:ascii="Arial" w:hAnsi="Arial"/>
          <w:b/>
          <w:bCs/>
          <w:color w:val="0000FF"/>
          <w:sz w:val="36"/>
          <w:szCs w:val="36"/>
        </w:rPr>
        <w:t>8.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Security Manager: owns this list; updates entries on issue, revision, supersession, or withdrawal of any ISMS document.</w:t>
      </w:r>
    </w:p>
    <w:p>
      <w:pPr>
        <w:pStyle w:val="ListParagraph"/>
        <w:numPr>
          <w:ilvl w:val="0"/>
          <w:numId w:val="1"/>
        </w:numPr>
        <w:spacing w:lineRule="exact" w:line="280" w:before="40" w:after="40"/>
        <w:rPr/>
      </w:pPr>
      <w:r>
        <w:rPr>
          <w:rFonts w:eastAsia="Arial" w:cs="Arial"/>
          <w:color w:val="1A1A1A"/>
          <w:sz w:val="22"/>
          <w:szCs w:val="22"/>
        </w:rPr>
        <w:t>Document owners: notify the Information Security Manager when their document is updated.</w:t>
      </w:r>
    </w:p>
    <w:p>
      <w:pPr>
        <w:pStyle w:val="ListParagraph"/>
        <w:numPr>
          <w:ilvl w:val="0"/>
          <w:numId w:val="1"/>
        </w:numPr>
        <w:spacing w:lineRule="exact" w:line="280" w:before="40" w:after="40"/>
        <w:rPr/>
      </w:pPr>
      <w:r>
        <w:rPr>
          <w:rFonts w:eastAsia="Arial" w:cs="Arial"/>
          <w:color w:val="1A1A1A"/>
          <w:sz w:val="22"/>
          <w:szCs w:val="22"/>
        </w:rPr>
        <w:t>Chief Executive Officer: approves Tier 1 to Tier 4 documents.</w:t>
      </w:r>
    </w:p>
    <w:p>
      <w:pPr>
        <w:pStyle w:val="ListParagraph"/>
        <w:numPr>
          <w:ilvl w:val="0"/>
          <w:numId w:val="1"/>
        </w:numPr>
        <w:spacing w:lineRule="exact" w:line="280" w:before="40" w:after="40"/>
        <w:rPr/>
      </w:pPr>
      <w:r>
        <w:rPr>
          <w:rFonts w:eastAsia="Arial" w:cs="Arial"/>
          <w:color w:val="1A1A1A"/>
          <w:sz w:val="22"/>
          <w:szCs w:val="22"/>
        </w:rPr>
        <w:t>All personnel: refer to this list as the authoritative reference for ISMS document existence and version.</w:t>
      </w:r>
    </w:p>
    <w:p>
      <w:pPr>
        <w:pStyle w:val="Heading1"/>
        <w:spacing w:before="360" w:after="180"/>
        <w:rPr/>
      </w:pPr>
      <w:r>
        <w:rPr>
          <w:rFonts w:eastAsia="Arial" w:cs="Arial" w:ascii="Arial" w:hAnsi="Arial"/>
          <w:b/>
          <w:bCs/>
          <w:color w:val="0000FF"/>
          <w:sz w:val="36"/>
          <w:szCs w:val="36"/>
        </w:rPr>
        <w:t>9. The Master Document List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list is presented by tier. Documents within each tier are sorted by Document ID.</w:t>
      </w:r>
    </w:p>
    <w:p>
      <w:pPr>
        <w:pStyle w:val="Normal"/>
        <w:spacing w:lineRule="exact" w:line="300" w:before="80" w:after="120"/>
        <w:rPr/>
      </w:pPr>
      <w:r>
        <w:rPr>
          <w:rFonts w:eastAsia="Arial" w:cs="Arial"/>
          <w:color w:val="1A1A1A"/>
          <w:sz w:val="22"/>
          <w:szCs w:val="22"/>
        </w:rPr>
        <w:t>Status “Existing” means the document was in place prior to the April 2026 ISMS document refresh; “New” means the document was introduced as part of that refresh. All documents are at version 1.0 except where stated.</w:t>
      </w:r>
    </w:p>
    <w:p>
      <w:pPr>
        <w:pStyle w:val="Heading2"/>
        <w:spacing w:before="280" w:after="140"/>
        <w:rPr/>
      </w:pPr>
      <w:r>
        <w:rPr>
          <w:rFonts w:eastAsia="Arial" w:cs="Arial" w:ascii="Arial" w:hAnsi="Arial"/>
          <w:b/>
          <w:bCs/>
          <w:color w:val="0000FF"/>
          <w:sz w:val="28"/>
          <w:szCs w:val="28"/>
        </w:rPr>
        <w:t>9.1 Tier 1 — Apex Policy</w:t>
      </w:r>
    </w:p>
    <w:p>
      <w:pPr>
        <w:pStyle w:val="Normal"/>
        <w:spacing w:before="60" w:after="60"/>
        <w:rPr/>
      </w:pPr>
      <w:r>
        <w:rPr/>
      </w:r>
    </w:p>
    <w:tbl>
      <w:tblPr>
        <w:tblW w:w="13700" w:type="dxa"/>
        <w:jc w:val="start"/>
        <w:tblInd w:w="0" w:type="dxa"/>
        <w:tblLayout w:type="fixed"/>
        <w:tblCellMar>
          <w:top w:w="80" w:type="dxa"/>
          <w:start w:w="120" w:type="dxa"/>
          <w:bottom w:w="80" w:type="dxa"/>
          <w:end w:w="120" w:type="dxa"/>
        </w:tblCellMar>
      </w:tblPr>
      <w:tblGrid>
        <w:gridCol w:w="1500"/>
        <w:gridCol w:w="3500"/>
        <w:gridCol w:w="1700"/>
        <w:gridCol w:w="999"/>
        <w:gridCol w:w="1200"/>
        <w:gridCol w:w="1100"/>
        <w:gridCol w:w="37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3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 /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Information Security Policy</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policy</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Existing</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A.5.1, A.5.2, A.5.4</w:t>
            </w:r>
          </w:p>
        </w:tc>
      </w:tr>
    </w:tbl>
    <w:p>
      <w:pPr>
        <w:pStyle w:val="Heading2"/>
        <w:spacing w:before="280" w:after="140"/>
        <w:rPr/>
      </w:pPr>
      <w:r>
        <w:rPr>
          <w:rFonts w:eastAsia="Arial" w:cs="Arial" w:ascii="Arial" w:hAnsi="Arial"/>
          <w:b/>
          <w:bCs/>
          <w:color w:val="0000FF"/>
          <w:sz w:val="28"/>
          <w:szCs w:val="28"/>
        </w:rPr>
        <w:t>9.2 Tier 2 — Core ISMS Documents</w:t>
      </w:r>
    </w:p>
    <w:p>
      <w:pPr>
        <w:pStyle w:val="Normal"/>
        <w:spacing w:before="60" w:after="60"/>
        <w:rPr/>
      </w:pPr>
      <w:r>
        <w:rPr/>
      </w:r>
    </w:p>
    <w:tbl>
      <w:tblPr>
        <w:tblW w:w="13700" w:type="dxa"/>
        <w:jc w:val="start"/>
        <w:tblInd w:w="0" w:type="dxa"/>
        <w:tblLayout w:type="fixed"/>
        <w:tblCellMar>
          <w:top w:w="80" w:type="dxa"/>
          <w:start w:w="120" w:type="dxa"/>
          <w:bottom w:w="80" w:type="dxa"/>
          <w:end w:w="120" w:type="dxa"/>
        </w:tblCellMar>
      </w:tblPr>
      <w:tblGrid>
        <w:gridCol w:w="1500"/>
        <w:gridCol w:w="3500"/>
        <w:gridCol w:w="1700"/>
        <w:gridCol w:w="999"/>
        <w:gridCol w:w="1200"/>
        <w:gridCol w:w="1100"/>
        <w:gridCol w:w="37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3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 /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ISMS-MAP-001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ISMS Document Map</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ISMS framework</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Existing</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7.5</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ISMS-OBJ-001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Information Security Objectives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ISMS clause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6.2</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ISMS-RA-001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Risk Assessment Methodology</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ISMS clause</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6.1.1, 6.1.2, 6.1.3</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ISMS-RTP-001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Risk Treatment Plan</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ISMS clause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6.1.3, 8.3</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ISMS-SCOPE-001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ISMS Scope Statement</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ISMS clause</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4.3</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ISMS-SOA-001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Statement of Applicability</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ISMS core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4.0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Existing</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6.1.3 (d)</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REG-RISK-001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Risk Register</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Risk</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Existing</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 6.1.2, 8.2</w:t>
            </w:r>
          </w:p>
        </w:tc>
      </w:tr>
    </w:tbl>
    <w:p>
      <w:pPr>
        <w:pStyle w:val="Heading2"/>
        <w:spacing w:before="280" w:after="140"/>
        <w:rPr/>
      </w:pPr>
      <w:r>
        <w:rPr>
          <w:rFonts w:eastAsia="Arial" w:cs="Arial" w:ascii="Arial" w:hAnsi="Arial"/>
          <w:b/>
          <w:bCs/>
          <w:color w:val="0000FF"/>
          <w:sz w:val="28"/>
          <w:szCs w:val="28"/>
        </w:rPr>
        <w:t>9.3 Tier 3 — Plans and Programmes</w:t>
      </w:r>
    </w:p>
    <w:p>
      <w:pPr>
        <w:pStyle w:val="Normal"/>
        <w:spacing w:before="60" w:after="60"/>
        <w:rPr/>
      </w:pPr>
      <w:r>
        <w:rPr/>
      </w:r>
    </w:p>
    <w:tbl>
      <w:tblPr>
        <w:tblW w:w="13700" w:type="dxa"/>
        <w:jc w:val="start"/>
        <w:tblInd w:w="0" w:type="dxa"/>
        <w:tblLayout w:type="fixed"/>
        <w:tblCellMar>
          <w:top w:w="80" w:type="dxa"/>
          <w:start w:w="120" w:type="dxa"/>
          <w:bottom w:w="80" w:type="dxa"/>
          <w:end w:w="120" w:type="dxa"/>
        </w:tblCellMar>
      </w:tblPr>
      <w:tblGrid>
        <w:gridCol w:w="1500"/>
        <w:gridCol w:w="3500"/>
        <w:gridCol w:w="1700"/>
        <w:gridCol w:w="999"/>
        <w:gridCol w:w="1200"/>
        <w:gridCol w:w="1100"/>
        <w:gridCol w:w="37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3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 /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PLAN-BCP-001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Business Continuity Plan</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A.5.29</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PLAN-DRP-001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Disaster Recovery Plan</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Plan</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A.5.30, A.8.14</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PLAN-IRP-001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Incident Response Plan</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Existing</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A.5.24, A.5.25, A.5.26, A.5.27</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PROG-AUDIT-001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Internal Audit Programme</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Programme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Existing</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A.5.35, Cl. 9.2</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PROG-COMP-001</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Compliance Monitoring Schedule</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Programme</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A.5.36</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PROG-TRAIN-001</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Awareness Training Programme</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Programme</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3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A.6.3</w:t>
            </w:r>
          </w:p>
        </w:tc>
      </w:tr>
    </w:tbl>
    <w:p>
      <w:pPr>
        <w:pStyle w:val="Heading2"/>
        <w:spacing w:before="280" w:after="140"/>
        <w:rPr/>
      </w:pPr>
      <w:r>
        <w:rPr>
          <w:rFonts w:eastAsia="Arial" w:cs="Arial" w:ascii="Arial" w:hAnsi="Arial"/>
          <w:b/>
          <w:bCs/>
          <w:color w:val="0000FF"/>
          <w:sz w:val="28"/>
          <w:szCs w:val="28"/>
        </w:rPr>
        <w:t>9.4 Tier 4 — Subordinate Policies</w:t>
      </w:r>
    </w:p>
    <w:p>
      <w:pPr>
        <w:pStyle w:val="Normal"/>
        <w:spacing w:lineRule="exact" w:line="300" w:before="80" w:after="120"/>
        <w:rPr/>
      </w:pPr>
      <w:r>
        <w:rPr>
          <w:rFonts w:eastAsia="Arial" w:cs="Arial"/>
          <w:color w:val="1A1A1A"/>
          <w:sz w:val="22"/>
          <w:szCs w:val="22"/>
        </w:rPr>
        <w:t>Twenty-four subordinate policies cover the operational policy framework. Each policy is mapped to specific Annex A controls per the Statement of Applicability.</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1300"/>
        <w:gridCol w:w="3499"/>
        <w:gridCol w:w="1501"/>
        <w:gridCol w:w="900"/>
        <w:gridCol w:w="1100"/>
        <w:gridCol w:w="999"/>
        <w:gridCol w:w="5100"/>
      </w:tblGrid>
      <w:tr>
        <w:trPr>
          <w:tblHeader w:val="true"/>
        </w:trPr>
        <w:tc>
          <w:tcPr>
            <w:tcW w:w="1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5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5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POL-002</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Access Control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A.5.3, A.5.15, A.5.16, A.5.17, A.7.6, A.8.2, A.8.3, A.8.5, A.8.18</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POL-003</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Acceptable Use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A.5.10</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POL-004</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Information Classification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A.5.12, A.5.13</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POL-005</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Information Transfer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A.5.14</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POL-006</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Supplier Security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A.5.19, A.5.20, A.5.21, A.8.30</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POL-007</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Cloud Services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A.5.23, A.7.1, A.7.3, A.7.6</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POL-008</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Intellectual Property and Software Licence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A.5.32</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POL-009</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Records Retention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A.5.33, A.8.10</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POL-010</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Privacy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A.5.34</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POL-011</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Disciplinary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A.6.4</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POL-012</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Remote Working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A.6.7, A.7.7, A.7.8, A.7.9</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POL-013</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Removable Media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A.7.10</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POL-014</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Vulnerability Management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A.8.8</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POL-015</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Configuration Management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A.8.9</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POL-016</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Data Masking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A.8.11</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POL-017</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Data Leakage Prevention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A.8.12</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POL-018</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Backup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A.8.13</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POL-019</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Logging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A.8.15</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POL-020</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Monitoring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A.8.16</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POL-021</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Software Installation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A.8.19</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POL-022</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Network Security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A.8.20, A.8.21, A.8.22, A.8.23, A.8.31</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POL-023</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Cryptographic Controls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A.8.24</w:t>
            </w:r>
          </w:p>
        </w:tc>
      </w:tr>
      <w:tr>
        <w:trPr/>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POL-024</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Secure Development Lifecycle Policy</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A.8.25, A.8.26, A.8.27, A.8.28, A.8.29, A.8.30, A.8.31, A.8.33</w:t>
            </w:r>
          </w:p>
        </w:tc>
      </w:tr>
      <w:tr>
        <w:trPr/>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POL-025</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Change Management Policy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policy</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5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A.8.32</w:t>
            </w:r>
          </w:p>
        </w:tc>
      </w:tr>
    </w:tbl>
    <w:p>
      <w:pPr>
        <w:pStyle w:val="Heading2"/>
        <w:spacing w:before="280" w:after="140"/>
        <w:rPr/>
      </w:pPr>
      <w:r>
        <w:rPr>
          <w:rFonts w:eastAsia="Arial" w:cs="Arial" w:ascii="Arial" w:hAnsi="Arial"/>
          <w:b/>
          <w:bCs/>
          <w:color w:val="0000FF"/>
          <w:sz w:val="28"/>
          <w:szCs w:val="28"/>
        </w:rPr>
        <w:t>9.5 Tier 5 — Procedures, Registers, and Governance Records</w:t>
      </w:r>
    </w:p>
    <w:p>
      <w:pPr>
        <w:pStyle w:val="Normal"/>
        <w:spacing w:lineRule="exact" w:line="300" w:before="80" w:after="120"/>
        <w:rPr/>
      </w:pPr>
      <w:r>
        <w:rPr>
          <w:rFonts w:eastAsia="Arial" w:cs="Arial"/>
          <w:color w:val="1A1A1A"/>
          <w:sz w:val="22"/>
          <w:szCs w:val="22"/>
        </w:rPr>
        <w:t>Tier 5 includes the procedures (PRO-xxx) that operationalise the policies, the registers (REG-xxx) that hold living datasets evidencing ongoing compliance, and the governance records (ISMS-RACI-001 and MGT-MR-LOG).</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1500"/>
        <w:gridCol w:w="3499"/>
        <w:gridCol w:w="1501"/>
        <w:gridCol w:w="900"/>
        <w:gridCol w:w="1100"/>
        <w:gridCol w:w="999"/>
        <w:gridCol w:w="49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 ID</w:t>
            </w:r>
          </w:p>
        </w:tc>
        <w:tc>
          <w:tcPr>
            <w:tcW w:w="3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5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VERSION</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ISSUE</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c>
          <w:tcPr>
            <w:tcW w:w="4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 /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ISMS-RACI-001</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ISMS Roles and RACI</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Governance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A.5.2, A.5.3, A.5.4</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MGT-MR-LOG</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Management Review Log</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Governance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 9.3, 10.1, 10.2</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PRO-002</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Screening Procedure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A.6.1, A.6.2</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PRO-005</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Joiner, Mover, Leaver Procedure</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A.5.11, A.5.18, A.6.5, A.6.6</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PRO-008</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Information Handling Procedure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A.5.8, A.5.10, A.5.12, A.5.13, A.5.14</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PRO-017</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Information Deletion Procedure</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A.8.10, A.5.17, A.5.33</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PRO-021</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Supplier Onboarding Procedure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A.5.19, A.5.20, A.5.21, A.5.23</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PRO-022</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Supplier Monitoring Procedure</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A.5.22, A.5.19</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PRO-024</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Breach Notification Procedure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A.5.5, A.5.34, A.5.24, A.5.26</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PRO-025</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Special Interest Group Engagement Procedure</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A.5.6, A.5.7</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PRO-026</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Lessons Learned Procedure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A.5.27, A.5.28</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PRO-027</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Event Reporting Procedure</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A.6.8, A.5.24, A.5.25</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PRO-028</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Equipment Disposal Procedure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A.7.14, A.7.13, A.7.10, A.8.10</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PRO-029</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Capacity Management Procedure</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A.8.6, A.5.30</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PRO-030</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Backup Operations Procedure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A.8.13, A.5.30, A.8.14</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PRO-031</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Corrective Action Procedure</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Procedure</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A.5.36, A.5.27, A.8.34</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REG-AUTH-001</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Authority Contacts</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A.5.5, A.5.6</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REG-CAR-001</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Corrective Actions Register</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A.5.36, Cl. 10.1, 10.2</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REG-COMP-001</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Compliance Obligations Register</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A.5.31</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REG-DPIA-001</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DPIA Register</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A.5.34, Article 35 UK GDPR</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REG-IAR-001</w:t>
            </w:r>
          </w:p>
        </w:tc>
        <w:tc>
          <w:tcPr>
            <w:tcW w:w="3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Information Asset Register</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A.5.9</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REG-ROPA-001</w:t>
            </w:r>
          </w:p>
        </w:tc>
        <w:tc>
          <w:tcPr>
            <w:tcW w:w="3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Record of Processing Activities</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Register</w:t>
            </w:r>
          </w:p>
        </w:tc>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1.0</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April 2026</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New</w:t>
            </w:r>
          </w:p>
        </w:tc>
        <w:tc>
          <w:tcPr>
            <w:tcW w:w="4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A.5.34, Article 30 UK GDPR</w:t>
            </w:r>
          </w:p>
        </w:tc>
      </w:tr>
    </w:tbl>
    <w:p>
      <w:pPr>
        <w:pStyle w:val="Heading1"/>
        <w:spacing w:before="360" w:after="180"/>
        <w:rPr/>
      </w:pPr>
      <w:r>
        <w:rPr>
          <w:rFonts w:eastAsia="Arial" w:cs="Arial" w:ascii="Arial" w:hAnsi="Arial"/>
          <w:b/>
          <w:bCs/>
          <w:color w:val="0000FF"/>
          <w:sz w:val="36"/>
          <w:szCs w:val="36"/>
        </w:rPr>
        <w:t>10. Summary by Tier</w:t>
      </w:r>
    </w:p>
    <w:p>
      <w:pPr>
        <w:pStyle w:val="Normal"/>
        <w:pBdr>
          <w:bottom w:val="single" w:sz="12" w:space="1" w:color="0000FF"/>
        </w:pBdr>
        <w:spacing w:before="0" w:after="200"/>
        <w:rPr/>
      </w:pPr>
      <w:r>
        <w:rPr/>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1500"/>
        <w:gridCol w:w="5999"/>
        <w:gridCol w:w="2401"/>
        <w:gridCol w:w="4499"/>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TIER</w:t>
            </w:r>
          </w:p>
        </w:tc>
        <w:tc>
          <w:tcPr>
            <w:tcW w:w="5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DESCRIPTION</w:t>
            </w:r>
          </w:p>
        </w:tc>
        <w:tc>
          <w:tcPr>
            <w:tcW w:w="24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DOCUMENT COUNT</w:t>
            </w:r>
          </w:p>
        </w:tc>
        <w:tc>
          <w:tcPr>
            <w:tcW w:w="4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1</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policy</w:t>
            </w:r>
          </w:p>
        </w:tc>
        <w:tc>
          <w:tcPr>
            <w:tcW w:w="24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1</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2</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Core ISMS documents (Scope, SoA, RA, RTP, OBJ, MAP, RISK)</w:t>
            </w:r>
          </w:p>
        </w:tc>
        <w:tc>
          <w:tcPr>
            <w:tcW w:w="24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7</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3</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Plans (3) and Programmes (3)</w:t>
            </w:r>
          </w:p>
        </w:tc>
        <w:tc>
          <w:tcPr>
            <w:tcW w:w="24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6</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4</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policies (POL-002 to POL-025)</w:t>
            </w:r>
          </w:p>
        </w:tc>
        <w:tc>
          <w:tcPr>
            <w:tcW w:w="24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24</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5</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Procedures (14), Registers (6), Governance (2)</w:t>
            </w:r>
          </w:p>
        </w:tc>
        <w:tc>
          <w:tcPr>
            <w:tcW w:w="24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22</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Approved</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TOTAL</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All ISMS documents</w:t>
            </w:r>
          </w:p>
        </w:tc>
        <w:tc>
          <w:tcPr>
            <w:tcW w:w="24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60</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Approved</w:t>
            </w:r>
          </w:p>
        </w:tc>
      </w:tr>
    </w:tbl>
    <w:p>
      <w:pPr>
        <w:pStyle w:val="Heading1"/>
        <w:spacing w:before="360" w:after="180"/>
        <w:rPr/>
      </w:pPr>
      <w:r>
        <w:rPr>
          <w:rFonts w:eastAsia="Arial" w:cs="Arial" w:ascii="Arial" w:hAnsi="Arial"/>
          <w:b/>
          <w:bCs/>
          <w:color w:val="0000FF"/>
          <w:sz w:val="36"/>
          <w:szCs w:val="36"/>
        </w:rPr>
        <w:t>11. Annex A Coverage Summary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93 Annex A controls of ISO/IEC 27001:2022 have at least one document in this list giving effect to them, in line with their applicability and status as recorded in the Statement of Applicability (ISMS-SOA-001 v4.0). Coverage by Annex A domain:</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3500"/>
        <w:gridCol w:w="2199"/>
        <w:gridCol w:w="8701"/>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ANNEX A DOMAIN</w:t>
            </w:r>
          </w:p>
        </w:tc>
        <w:tc>
          <w:tcPr>
            <w:tcW w:w="2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CONTROLS</w:t>
            </w:r>
          </w:p>
        </w:tc>
        <w:tc>
          <w:tcPr>
            <w:tcW w:w="8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PRIMARY DOCUMENTS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A.5 Organisational controls (37 controls)</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A.5.1–A.5.37</w:t>
            </w:r>
          </w:p>
        </w:tc>
        <w:tc>
          <w:tcPr>
            <w:tcW w:w="8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POL-001, POL-002–POL-011, POL-014–POL-018, POL-024; PLAN-IRP-001, PLAN-BCP-001, PLAN-DRP-001; PROG-AUDIT-001, PROG-COMP-001; REG-IAR-001, REG-COMP-001, REG-ROPA-001, REG-DPIA-001, REG-AUTH-001, REG-CAR-001; PRO-005, PRO-008, PRO-017, PRO-021, PRO-022, PRO-024, PRO-025, PRO-026, PRO-031; ISMS-RACI-001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A.6 People controls (8 controls)</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A.6.1–A.6.8</w:t>
            </w:r>
          </w:p>
        </w:tc>
        <w:tc>
          <w:tcPr>
            <w:tcW w:w="8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POL-011, POL-012; PROG-TRAIN-001; PRO-002, PRO-005, PRO-027</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A.7 Physical controls (14 controls)</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A.7.1–A.7.14</w:t>
            </w:r>
          </w:p>
        </w:tc>
        <w:tc>
          <w:tcPr>
            <w:tcW w:w="8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POL-007, POL-012, POL-013; PRO-028</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A.8 Technological controls (34 controls)</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A.8.1–A.8.34</w:t>
            </w:r>
          </w:p>
        </w:tc>
        <w:tc>
          <w:tcPr>
            <w:tcW w:w="8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POL-002, POL-014, POL-015, POL-016, POL-017, POL-018, POL-019, POL-020, POL-021, POL-022, POL-023, POL-024, POL-025; PRO-017, PRO-029, PRO-030, PRO-031</w:t>
            </w:r>
          </w:p>
        </w:tc>
      </w:tr>
    </w:tbl>
    <w:p>
      <w:pPr>
        <w:pStyle w:val="Normal"/>
        <w:spacing w:lineRule="exact" w:line="300" w:before="80" w:after="120"/>
        <w:rPr/>
      </w:pPr>
      <w:r>
        <w:rPr>
          <w:rFonts w:eastAsia="Arial" w:cs="Arial"/>
          <w:color w:val="1A1A1A"/>
          <w:sz w:val="22"/>
          <w:szCs w:val="22"/>
        </w:rPr>
        <w:t>The authoritative mapping of Annex A controls to documents is the Statement of Applicability (ISMS-SOA-001 v4.0). This table is a high-level summary.</w:t>
      </w:r>
    </w:p>
    <w:p>
      <w:pPr>
        <w:pStyle w:val="Heading1"/>
        <w:spacing w:before="360" w:after="180"/>
        <w:rPr/>
      </w:pPr>
      <w:r>
        <w:rPr>
          <w:rFonts w:eastAsia="Arial" w:cs="Arial" w:ascii="Arial" w:hAnsi="Arial"/>
          <w:b/>
          <w:bCs/>
          <w:color w:val="0000FF"/>
          <w:sz w:val="36"/>
          <w:szCs w:val="36"/>
        </w:rPr>
        <w:t>12.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list is reviewed on every issue, revision, supersession, or withdrawal of any ISMS document. Updates are recorded in the version history.</w:t>
      </w:r>
    </w:p>
    <w:p>
      <w:pPr>
        <w:pStyle w:val="ListParagraph"/>
        <w:numPr>
          <w:ilvl w:val="0"/>
          <w:numId w:val="1"/>
        </w:numPr>
        <w:spacing w:lineRule="exact" w:line="280" w:before="40" w:after="40"/>
        <w:rPr/>
      </w:pPr>
      <w:r>
        <w:rPr>
          <w:rFonts w:eastAsia="Arial" w:cs="Arial"/>
          <w:color w:val="1A1A1A"/>
          <w:sz w:val="22"/>
          <w:szCs w:val="22"/>
        </w:rPr>
        <w:t>A scheduled quarterly review confirms the list against the actual document repository.</w:t>
      </w:r>
    </w:p>
    <w:p>
      <w:pPr>
        <w:pStyle w:val="ListParagraph"/>
        <w:numPr>
          <w:ilvl w:val="0"/>
          <w:numId w:val="1"/>
        </w:numPr>
        <w:spacing w:lineRule="exact" w:line="280" w:before="40" w:after="40"/>
        <w:rPr/>
      </w:pPr>
      <w:r>
        <w:rPr>
          <w:rFonts w:eastAsia="Arial" w:cs="Arial"/>
          <w:color w:val="1A1A1A"/>
          <w:sz w:val="22"/>
          <w:szCs w:val="22"/>
        </w:rPr>
        <w:t>An annual full review aligns the list with the ISMS map (ISMS-MAP-001) and the Statement of Applicability.</w:t>
      </w:r>
    </w:p>
    <w:p>
      <w:pPr>
        <w:pStyle w:val="ListParagraph"/>
        <w:numPr>
          <w:ilvl w:val="0"/>
          <w:numId w:val="1"/>
        </w:numPr>
        <w:spacing w:lineRule="exact" w:line="280" w:before="40" w:after="40"/>
        <w:rPr/>
      </w:pPr>
      <w:r>
        <w:rPr>
          <w:rFonts w:eastAsia="Arial" w:cs="Arial"/>
          <w:color w:val="1A1A1A"/>
          <w:sz w:val="22"/>
          <w:szCs w:val="22"/>
        </w:rPr>
        <w:t>Material structural changes (e.g. addition of a new tier, change in numbering convention) are approved by the Chief Executive Officer.</w:t>
      </w:r>
    </w:p>
    <w:p>
      <w:pPr>
        <w:pStyle w:val="Heading1"/>
        <w:spacing w:before="360" w:after="180"/>
        <w:rPr/>
      </w:pPr>
      <w:r>
        <w:rPr>
          <w:rFonts w:eastAsia="Arial" w:cs="Arial" w:ascii="Arial" w:hAnsi="Arial"/>
          <w:b/>
          <w:bCs/>
          <w:color w:val="0000FF"/>
          <w:sz w:val="36"/>
          <w:szCs w:val="36"/>
        </w:rPr>
        <w:t>13.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list is communicated to all personnel as the authoritative reference for ISMS documents. Personnel are required to use the controlled documents listed here — not personal copies, drafts, or superseded versions.</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Comprehensive inventory of 60 ISMS documents covering Tier 1 to Tier 5, aligned to ISMS-MAP-001 v1.0 and ISMS-SOA-001 v4.0.</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ISMS-MASTER-001 Master Document List  •  Internal  </w:t>
      <w:tab/>
      <w:t>v1.0  •  April 2026</w:t>
      <w:tab/>
      <w:t xml:space="preserve">Page </w:t>
    </w:r>
    <w:r>
      <w:rPr/>
      <w:fldChar w:fldCharType="begin"/>
    </w:r>
    <w:r>
      <w:rPr/>
      <w:instrText xml:space="preserve"> PAGE </w:instrText>
    </w:r>
    <w:r>
      <w:rPr/>
      <w:fldChar w:fldCharType="separate"/>
    </w:r>
    <w:r>
      <w:rPr/>
      <w:t>12</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ISMS-MASTER-001 Master Document List  •  Internal  </w:t>
      <w:tab/>
      <w:t>v1.0  •  April 2026</w:t>
      <w:tab/>
      <w:t xml:space="preserve">Page </w:t>
    </w:r>
    <w:r>
      <w:rPr/>
      <w:fldChar w:fldCharType="begin"/>
    </w:r>
    <w:r>
      <w:rPr/>
      <w:instrText xml:space="preserve"> PAGE </w:instrText>
    </w:r>
    <w:r>
      <w:rPr/>
      <w:fldChar w:fldCharType="separate"/>
    </w:r>
    <w:r>
      <w:rPr/>
      <w:t>12</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2026-04-23T10:17:20Z</dcterms:created>
  <dc:creator>David Stokes</dc:creator>
  <dc:description/>
  <dc:language>en-US</dc:language>
  <cp:lastModifiedBy>David Stokes</cp:lastModifiedBy>
  <dcterms:modified xsi:type="dcterms:W3CDTF">2026-04-23T11:28:20Z</dcterms:modified>
  <cp:revision>1</cp:revision>
  <dc:subject/>
  <dc:title>Cloudax Master Document List</dc:title>
</cp:coreProperties>
</file>

<file path=docProps/custom.xml><?xml version="1.0" encoding="utf-8"?>
<Properties xmlns="http://schemas.openxmlformats.org/officeDocument/2006/custom-properties" xmlns:vt="http://schemas.openxmlformats.org/officeDocument/2006/docPropsVTypes"/>
</file>