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0" w:after="200"/>
        <w:jc w:val="start"/>
        <w:rPr/>
      </w:pPr>
      <w:r>
        <w:rPr>
          <w:rFonts w:eastAsia="Arial" w:cs="Arial"/>
          <w:b/>
          <w:bCs/>
          <w:color w:val="5B6573"/>
          <w:spacing w:val="80"/>
          <w:sz w:val="18"/>
          <w:szCs w:val="18"/>
        </w:rPr>
        <w:t>ISMS DOCUMENT</w:t>
      </w:r>
    </w:p>
    <w:p>
      <w:pPr>
        <w:pStyle w:val="Normal"/>
        <w:spacing w:before="0" w:after="120"/>
        <w:jc w:val="start"/>
        <w:rPr/>
      </w:pPr>
      <w:r>
        <w:rPr>
          <w:rFonts w:eastAsia="Arial" w:cs="Arial"/>
          <w:b/>
          <w:bCs/>
          <w:color w:val="0A2540"/>
          <w:sz w:val="56"/>
          <w:szCs w:val="56"/>
        </w:rPr>
        <w:t>Statement of Applicability</w:t>
      </w:r>
    </w:p>
    <w:p>
      <w:pPr>
        <w:pStyle w:val="Normal"/>
        <w:spacing w:before="0" w:after="800"/>
        <w:jc w:val="start"/>
        <w:rPr/>
      </w:pPr>
      <w:r>
        <w:rPr>
          <w:rFonts w:eastAsia="Arial" w:cs="Arial"/>
          <w:color w:val="1E3A5F"/>
          <w:sz w:val="28"/>
          <w:szCs w:val="28"/>
        </w:rPr>
        <w:t>ISO/IEC 27001:2022 — Annex A</w:t>
      </w:r>
    </w:p>
    <w:p>
      <w:pPr>
        <w:pStyle w:val="Normal"/>
        <w:pBdr>
          <w:bottom w:val="single" w:sz="12" w:space="1" w:color="0A2540"/>
        </w:pBdr>
        <w:spacing w:before="0" w:after="400"/>
        <w:rPr/>
      </w:pPr>
      <w:r>
        <w:rPr/>
      </w:r>
    </w:p>
    <w:p>
      <w:pPr>
        <w:pStyle w:val="Normal"/>
        <w:spacing w:before="0" w:after="60"/>
        <w:rPr/>
      </w:pPr>
      <w:r>
        <w:rPr>
          <w:rFonts w:eastAsia="Arial" w:cs="Arial"/>
          <w:b/>
          <w:bCs/>
          <w:color w:val="1F2937"/>
          <w:sz w:val="32"/>
          <w:szCs w:val="32"/>
        </w:rPr>
        <w:t>Cloudax Ltd</w:t>
      </w:r>
    </w:p>
    <w:p>
      <w:pPr>
        <w:pStyle w:val="Normal"/>
        <w:spacing w:before="0" w:after="4000"/>
        <w:rPr/>
      </w:pPr>
      <w:r>
        <w:rPr>
          <w:rFonts w:eastAsia="Arial" w:cs="Arial"/>
          <w:color w:val="5B6573"/>
          <w:sz w:val="22"/>
          <w:szCs w:val="22"/>
        </w:rPr>
        <w:t>Cloudax Connect Conversational AI Platform</w:t>
      </w:r>
    </w:p>
    <w:p>
      <w:pPr>
        <w:pStyle w:val="Normal"/>
        <w:spacing w:before="0" w:after="60"/>
        <w:rPr/>
      </w:pPr>
      <w:r>
        <w:rPr>
          <w:rFonts w:eastAsia="Arial" w:cs="Arial"/>
          <w:b/>
          <w:bCs/>
          <w:color w:val="5B6573"/>
          <w:spacing w:val="40"/>
          <w:sz w:val="16"/>
          <w:szCs w:val="16"/>
        </w:rPr>
        <w:t xml:space="preserve">Document Reference  </w:t>
      </w:r>
      <w:r>
        <w:rPr>
          <w:rFonts w:eastAsia="Arial" w:cs="Arial"/>
          <w:color w:val="1F2937"/>
          <w:sz w:val="18"/>
          <w:szCs w:val="18"/>
        </w:rPr>
        <w:t>ISMS-SOA-001</w:t>
      </w:r>
    </w:p>
    <w:p>
      <w:pPr>
        <w:pStyle w:val="Normal"/>
        <w:spacing w:before="0" w:after="60"/>
        <w:rPr/>
      </w:pPr>
      <w:r>
        <w:rPr>
          <w:rFonts w:eastAsia="Arial" w:cs="Arial"/>
          <w:b/>
          <w:bCs/>
          <w:color w:val="5B6573"/>
          <w:spacing w:val="40"/>
          <w:sz w:val="16"/>
          <w:szCs w:val="16"/>
        </w:rPr>
        <w:t xml:space="preserve">Version  </w:t>
      </w:r>
      <w:r>
        <w:rPr>
          <w:rFonts w:eastAsia="Arial" w:cs="Arial"/>
          <w:color w:val="1F2937"/>
          <w:sz w:val="18"/>
          <w:szCs w:val="18"/>
        </w:rPr>
        <w:t>4.0</w:t>
      </w:r>
      <w:r>
        <w:rPr>
          <w:rFonts w:eastAsia="Arial" w:cs="Arial"/>
          <w:sz w:val="18"/>
          <w:szCs w:val="18"/>
        </w:rPr>
        <w:t xml:space="preserve">      </w:t>
      </w:r>
      <w:r>
        <w:rPr>
          <w:rFonts w:eastAsia="Arial" w:cs="Arial"/>
          <w:b/>
          <w:bCs/>
          <w:color w:val="5B6573"/>
          <w:spacing w:val="40"/>
          <w:sz w:val="16"/>
          <w:szCs w:val="16"/>
        </w:rPr>
        <w:t xml:space="preserve">Status  </w:t>
      </w:r>
      <w:r>
        <w:rPr>
          <w:rFonts w:eastAsia="Arial" w:cs="Arial"/>
          <w:color w:val="1F2937"/>
          <w:sz w:val="18"/>
          <w:szCs w:val="18"/>
        </w:rPr>
        <w:t>Draft</w:t>
      </w:r>
      <w:r>
        <w:rPr>
          <w:rFonts w:eastAsia="Arial" w:cs="Arial"/>
          <w:sz w:val="18"/>
          <w:szCs w:val="18"/>
        </w:rPr>
        <w:t xml:space="preserve">      </w:t>
      </w:r>
      <w:r>
        <w:rPr>
          <w:rFonts w:eastAsia="Arial" w:cs="Arial"/>
          <w:b/>
          <w:bCs/>
          <w:color w:val="5B6573"/>
          <w:spacing w:val="40"/>
          <w:sz w:val="16"/>
          <w:szCs w:val="16"/>
        </w:rPr>
        <w:t xml:space="preserve">Classification  </w:t>
      </w:r>
      <w:r>
        <w:rPr>
          <w:rFonts w:eastAsia="Arial" w:cs="Arial"/>
          <w:color w:val="1F2937"/>
          <w:sz w:val="18"/>
          <w:szCs w:val="18"/>
        </w:rPr>
        <w:t>Internal</w:t>
      </w:r>
    </w:p>
    <w:p>
      <w:pPr>
        <w:pStyle w:val="Normal"/>
        <w:spacing w:before="0" w:after="0"/>
        <w:rPr/>
      </w:pPr>
      <w:r>
        <w:rPr>
          <w:rFonts w:eastAsia="Arial" w:cs="Arial"/>
          <w:b/>
          <w:bCs/>
          <w:color w:val="5B6573"/>
          <w:spacing w:val="40"/>
          <w:sz w:val="16"/>
          <w:szCs w:val="16"/>
        </w:rPr>
        <w:t xml:space="preserve">Issue Date  </w:t>
      </w:r>
      <w:r>
        <w:rPr>
          <w:rFonts w:eastAsia="Arial" w:cs="Arial"/>
          <w:color w:val="1F2937"/>
          <w:sz w:val="18"/>
          <w:szCs w:val="18"/>
        </w:rPr>
        <w:t>28 April 2026</w:t>
      </w:r>
    </w:p>
    <w:p>
      <w:pPr>
        <w:pStyle w:val="Normal"/>
        <w:rPr/>
      </w:pPr>
      <w:r>
        <w:rPr/>
      </w:r>
      <w:r>
        <w:br w:type="page"/>
      </w:r>
    </w:p>
    <w:p>
      <w:pPr>
        <w:pStyle w:val="Heading1"/>
        <w:spacing w:before="0" w:after="200"/>
        <w:rPr/>
      </w:pPr>
      <w:r>
        <w:rPr>
          <w:rFonts w:eastAsia="Arial" w:cs="Arial" w:ascii="Arial" w:hAnsi="Arial"/>
          <w:b/>
          <w:bCs/>
          <w:color w:val="0A2540"/>
          <w:sz w:val="32"/>
          <w:szCs w:val="32"/>
        </w:rPr>
        <w:t>1.  Document Control</w:t>
      </w:r>
    </w:p>
    <w:tbl>
      <w:tblPr>
        <w:tblW w:w="9638" w:type="dxa"/>
        <w:jc w:val="start"/>
        <w:tblInd w:w="0" w:type="dxa"/>
        <w:tblLayout w:type="fixed"/>
        <w:tblCellMar>
          <w:top w:w="100" w:type="dxa"/>
          <w:start w:w="140" w:type="dxa"/>
          <w:bottom w:w="100" w:type="dxa"/>
          <w:end w:w="140" w:type="dxa"/>
        </w:tblCellMar>
      </w:tblPr>
      <w:tblGrid>
        <w:gridCol w:w="2799"/>
        <w:gridCol w:w="6838"/>
      </w:tblGrid>
      <w:tr>
        <w:trPr/>
        <w:tc>
          <w:tcPr>
            <w:tcW w:w="2799" w:type="dxa"/>
            <w:tcBorders>
              <w:top w:val="single" w:sz="4" w:space="0" w:color="C8CDD4"/>
              <w:start w:val="single" w:sz="4" w:space="0" w:color="C8CDD4"/>
              <w:bottom w:val="single" w:sz="4" w:space="0" w:color="C8CDD4"/>
              <w:end w:val="single" w:sz="4" w:space="0" w:color="C8CDD4"/>
            </w:tcBorders>
            <w:shd w:color="auto" w:fill="F4F6F9" w:val="clear"/>
            <w:vAlign w:val="center"/>
          </w:tcPr>
          <w:p>
            <w:pPr>
              <w:pStyle w:val="Normal"/>
              <w:rPr/>
            </w:pPr>
            <w:r>
              <w:rPr>
                <w:rFonts w:eastAsia="Arial" w:cs="Arial"/>
                <w:b/>
                <w:bCs/>
                <w:color w:val="1F2937"/>
                <w:sz w:val="18"/>
                <w:szCs w:val="18"/>
              </w:rPr>
              <w:t>Document Title</w:t>
            </w:r>
          </w:p>
        </w:tc>
        <w:tc>
          <w:tcPr>
            <w:tcW w:w="6838" w:type="dxa"/>
            <w:tcBorders>
              <w:top w:val="single" w:sz="4" w:space="0" w:color="C8CDD4"/>
              <w:start w:val="single" w:sz="4" w:space="0" w:color="C8CDD4"/>
              <w:bottom w:val="single" w:sz="4" w:space="0" w:color="C8CDD4"/>
              <w:end w:val="single" w:sz="4" w:space="0" w:color="C8CDD4"/>
            </w:tcBorders>
            <w:vAlign w:val="center"/>
          </w:tcPr>
          <w:p>
            <w:pPr>
              <w:pStyle w:val="Normal"/>
              <w:rPr/>
            </w:pPr>
            <w:r>
              <w:rPr>
                <w:rFonts w:eastAsia="Arial" w:cs="Arial"/>
                <w:color w:val="1F2937"/>
                <w:sz w:val="18"/>
                <w:szCs w:val="18"/>
              </w:rPr>
              <w:t>Statement of Applicability</w:t>
            </w:r>
          </w:p>
        </w:tc>
      </w:tr>
      <w:tr>
        <w:trPr/>
        <w:tc>
          <w:tcPr>
            <w:tcW w:w="2799" w:type="dxa"/>
            <w:tcBorders>
              <w:top w:val="single" w:sz="4" w:space="0" w:color="C8CDD4"/>
              <w:start w:val="single" w:sz="4" w:space="0" w:color="C8CDD4"/>
              <w:bottom w:val="single" w:sz="4" w:space="0" w:color="C8CDD4"/>
              <w:end w:val="single" w:sz="4" w:space="0" w:color="C8CDD4"/>
            </w:tcBorders>
            <w:shd w:color="auto" w:fill="F4F6F9" w:val="clear"/>
            <w:vAlign w:val="center"/>
          </w:tcPr>
          <w:p>
            <w:pPr>
              <w:pStyle w:val="Normal"/>
              <w:rPr/>
            </w:pPr>
            <w:r>
              <w:rPr>
                <w:rFonts w:eastAsia="Arial" w:cs="Arial"/>
                <w:b/>
                <w:bCs/>
                <w:color w:val="1F2937"/>
                <w:sz w:val="18"/>
                <w:szCs w:val="18"/>
              </w:rPr>
              <w:t>Document Reference</w:t>
            </w:r>
          </w:p>
        </w:tc>
        <w:tc>
          <w:tcPr>
            <w:tcW w:w="6838" w:type="dxa"/>
            <w:tcBorders>
              <w:top w:val="single" w:sz="4" w:space="0" w:color="C8CDD4"/>
              <w:start w:val="single" w:sz="4" w:space="0" w:color="C8CDD4"/>
              <w:bottom w:val="single" w:sz="4" w:space="0" w:color="C8CDD4"/>
              <w:end w:val="single" w:sz="4" w:space="0" w:color="C8CDD4"/>
            </w:tcBorders>
            <w:vAlign w:val="center"/>
          </w:tcPr>
          <w:p>
            <w:pPr>
              <w:pStyle w:val="Normal"/>
              <w:rPr/>
            </w:pPr>
            <w:r>
              <w:rPr>
                <w:rFonts w:eastAsia="Arial" w:cs="Arial"/>
                <w:color w:val="1F2937"/>
                <w:sz w:val="18"/>
                <w:szCs w:val="18"/>
              </w:rPr>
              <w:t>ISMS-SOA-001</w:t>
            </w:r>
          </w:p>
        </w:tc>
      </w:tr>
      <w:tr>
        <w:trPr/>
        <w:tc>
          <w:tcPr>
            <w:tcW w:w="2799" w:type="dxa"/>
            <w:tcBorders>
              <w:top w:val="single" w:sz="4" w:space="0" w:color="C8CDD4"/>
              <w:start w:val="single" w:sz="4" w:space="0" w:color="C8CDD4"/>
              <w:bottom w:val="single" w:sz="4" w:space="0" w:color="C8CDD4"/>
              <w:end w:val="single" w:sz="4" w:space="0" w:color="C8CDD4"/>
            </w:tcBorders>
            <w:shd w:color="auto" w:fill="F4F6F9" w:val="clear"/>
            <w:vAlign w:val="center"/>
          </w:tcPr>
          <w:p>
            <w:pPr>
              <w:pStyle w:val="Normal"/>
              <w:rPr/>
            </w:pPr>
            <w:r>
              <w:rPr>
                <w:rFonts w:eastAsia="Arial" w:cs="Arial"/>
                <w:b/>
                <w:bCs/>
                <w:color w:val="1F2937"/>
                <w:sz w:val="18"/>
                <w:szCs w:val="18"/>
              </w:rPr>
              <w:t>Version</w:t>
            </w:r>
          </w:p>
        </w:tc>
        <w:tc>
          <w:tcPr>
            <w:tcW w:w="6838" w:type="dxa"/>
            <w:tcBorders>
              <w:top w:val="single" w:sz="4" w:space="0" w:color="C8CDD4"/>
              <w:start w:val="single" w:sz="4" w:space="0" w:color="C8CDD4"/>
              <w:bottom w:val="single" w:sz="4" w:space="0" w:color="C8CDD4"/>
              <w:end w:val="single" w:sz="4" w:space="0" w:color="C8CDD4"/>
            </w:tcBorders>
            <w:vAlign w:val="center"/>
          </w:tcPr>
          <w:p>
            <w:pPr>
              <w:pStyle w:val="Normal"/>
              <w:rPr/>
            </w:pPr>
            <w:r>
              <w:rPr>
                <w:rFonts w:eastAsia="Arial" w:cs="Arial"/>
                <w:color w:val="1F2937"/>
                <w:sz w:val="18"/>
                <w:szCs w:val="18"/>
              </w:rPr>
              <w:t>4.0</w:t>
            </w:r>
          </w:p>
        </w:tc>
      </w:tr>
      <w:tr>
        <w:trPr/>
        <w:tc>
          <w:tcPr>
            <w:tcW w:w="2799" w:type="dxa"/>
            <w:tcBorders>
              <w:top w:val="single" w:sz="4" w:space="0" w:color="C8CDD4"/>
              <w:start w:val="single" w:sz="4" w:space="0" w:color="C8CDD4"/>
              <w:bottom w:val="single" w:sz="4" w:space="0" w:color="C8CDD4"/>
              <w:end w:val="single" w:sz="4" w:space="0" w:color="C8CDD4"/>
            </w:tcBorders>
            <w:shd w:color="auto" w:fill="F4F6F9" w:val="clear"/>
            <w:vAlign w:val="center"/>
          </w:tcPr>
          <w:p>
            <w:pPr>
              <w:pStyle w:val="Normal"/>
              <w:rPr/>
            </w:pPr>
            <w:r>
              <w:rPr>
                <w:rFonts w:eastAsia="Arial" w:cs="Arial"/>
                <w:b/>
                <w:bCs/>
                <w:color w:val="1F2937"/>
                <w:sz w:val="18"/>
                <w:szCs w:val="18"/>
              </w:rPr>
              <w:t>Status</w:t>
            </w:r>
          </w:p>
        </w:tc>
        <w:tc>
          <w:tcPr>
            <w:tcW w:w="6838" w:type="dxa"/>
            <w:tcBorders>
              <w:top w:val="single" w:sz="4" w:space="0" w:color="C8CDD4"/>
              <w:start w:val="single" w:sz="4" w:space="0" w:color="C8CDD4"/>
              <w:bottom w:val="single" w:sz="4" w:space="0" w:color="C8CDD4"/>
              <w:end w:val="single" w:sz="4" w:space="0" w:color="C8CDD4"/>
            </w:tcBorders>
            <w:vAlign w:val="center"/>
          </w:tcPr>
          <w:p>
            <w:pPr>
              <w:pStyle w:val="Normal"/>
              <w:rPr/>
            </w:pPr>
            <w:r>
              <w:rPr>
                <w:rFonts w:eastAsia="Arial" w:cs="Arial"/>
                <w:color w:val="1F2937"/>
                <w:sz w:val="18"/>
                <w:szCs w:val="18"/>
              </w:rPr>
              <w:t>Draft</w:t>
            </w:r>
          </w:p>
        </w:tc>
      </w:tr>
      <w:tr>
        <w:trPr/>
        <w:tc>
          <w:tcPr>
            <w:tcW w:w="2799" w:type="dxa"/>
            <w:tcBorders>
              <w:top w:val="single" w:sz="4" w:space="0" w:color="C8CDD4"/>
              <w:start w:val="single" w:sz="4" w:space="0" w:color="C8CDD4"/>
              <w:bottom w:val="single" w:sz="4" w:space="0" w:color="C8CDD4"/>
              <w:end w:val="single" w:sz="4" w:space="0" w:color="C8CDD4"/>
            </w:tcBorders>
            <w:shd w:color="auto" w:fill="F4F6F9" w:val="clear"/>
            <w:vAlign w:val="center"/>
          </w:tcPr>
          <w:p>
            <w:pPr>
              <w:pStyle w:val="Normal"/>
              <w:rPr/>
            </w:pPr>
            <w:r>
              <w:rPr>
                <w:rFonts w:eastAsia="Arial" w:cs="Arial"/>
                <w:b/>
                <w:bCs/>
                <w:color w:val="1F2937"/>
                <w:sz w:val="18"/>
                <w:szCs w:val="18"/>
              </w:rPr>
              <w:t>Classification</w:t>
            </w:r>
          </w:p>
        </w:tc>
        <w:tc>
          <w:tcPr>
            <w:tcW w:w="6838" w:type="dxa"/>
            <w:tcBorders>
              <w:top w:val="single" w:sz="4" w:space="0" w:color="C8CDD4"/>
              <w:start w:val="single" w:sz="4" w:space="0" w:color="C8CDD4"/>
              <w:bottom w:val="single" w:sz="4" w:space="0" w:color="C8CDD4"/>
              <w:end w:val="single" w:sz="4" w:space="0" w:color="C8CDD4"/>
            </w:tcBorders>
            <w:vAlign w:val="center"/>
          </w:tcPr>
          <w:p>
            <w:pPr>
              <w:pStyle w:val="Normal"/>
              <w:rPr/>
            </w:pPr>
            <w:r>
              <w:rPr>
                <w:rFonts w:eastAsia="Arial" w:cs="Arial"/>
                <w:color w:val="1F2937"/>
                <w:sz w:val="18"/>
                <w:szCs w:val="18"/>
              </w:rPr>
              <w:t>Internal</w:t>
            </w:r>
          </w:p>
        </w:tc>
      </w:tr>
      <w:tr>
        <w:trPr/>
        <w:tc>
          <w:tcPr>
            <w:tcW w:w="2799" w:type="dxa"/>
            <w:tcBorders>
              <w:top w:val="single" w:sz="4" w:space="0" w:color="C8CDD4"/>
              <w:start w:val="single" w:sz="4" w:space="0" w:color="C8CDD4"/>
              <w:bottom w:val="single" w:sz="4" w:space="0" w:color="C8CDD4"/>
              <w:end w:val="single" w:sz="4" w:space="0" w:color="C8CDD4"/>
            </w:tcBorders>
            <w:shd w:color="auto" w:fill="F4F6F9" w:val="clear"/>
            <w:vAlign w:val="center"/>
          </w:tcPr>
          <w:p>
            <w:pPr>
              <w:pStyle w:val="Normal"/>
              <w:rPr/>
            </w:pPr>
            <w:r>
              <w:rPr>
                <w:rFonts w:eastAsia="Arial" w:cs="Arial"/>
                <w:b/>
                <w:bCs/>
                <w:color w:val="1F2937"/>
                <w:sz w:val="18"/>
                <w:szCs w:val="18"/>
              </w:rPr>
              <w:t>Issue Date</w:t>
            </w:r>
          </w:p>
        </w:tc>
        <w:tc>
          <w:tcPr>
            <w:tcW w:w="6838" w:type="dxa"/>
            <w:tcBorders>
              <w:top w:val="single" w:sz="4" w:space="0" w:color="C8CDD4"/>
              <w:start w:val="single" w:sz="4" w:space="0" w:color="C8CDD4"/>
              <w:bottom w:val="single" w:sz="4" w:space="0" w:color="C8CDD4"/>
              <w:end w:val="single" w:sz="4" w:space="0" w:color="C8CDD4"/>
            </w:tcBorders>
            <w:vAlign w:val="center"/>
          </w:tcPr>
          <w:p>
            <w:pPr>
              <w:pStyle w:val="Normal"/>
              <w:rPr/>
            </w:pPr>
            <w:r>
              <w:rPr>
                <w:rFonts w:eastAsia="Arial" w:cs="Arial"/>
                <w:color w:val="1F2937"/>
                <w:sz w:val="18"/>
                <w:szCs w:val="18"/>
              </w:rPr>
              <w:t>28 April 2026</w:t>
            </w:r>
          </w:p>
        </w:tc>
      </w:tr>
      <w:tr>
        <w:trPr/>
        <w:tc>
          <w:tcPr>
            <w:tcW w:w="2799" w:type="dxa"/>
            <w:tcBorders>
              <w:top w:val="single" w:sz="4" w:space="0" w:color="C8CDD4"/>
              <w:start w:val="single" w:sz="4" w:space="0" w:color="C8CDD4"/>
              <w:bottom w:val="single" w:sz="4" w:space="0" w:color="C8CDD4"/>
              <w:end w:val="single" w:sz="4" w:space="0" w:color="C8CDD4"/>
            </w:tcBorders>
            <w:shd w:color="auto" w:fill="F4F6F9" w:val="clear"/>
            <w:vAlign w:val="center"/>
          </w:tcPr>
          <w:p>
            <w:pPr>
              <w:pStyle w:val="Normal"/>
              <w:rPr/>
            </w:pPr>
            <w:r>
              <w:rPr>
                <w:rFonts w:eastAsia="Arial" w:cs="Arial"/>
                <w:b/>
                <w:bCs/>
                <w:color w:val="1F2937"/>
                <w:sz w:val="18"/>
                <w:szCs w:val="18"/>
              </w:rPr>
              <w:t>Next Review Date</w:t>
            </w:r>
          </w:p>
        </w:tc>
        <w:tc>
          <w:tcPr>
            <w:tcW w:w="6838" w:type="dxa"/>
            <w:tcBorders>
              <w:top w:val="single" w:sz="4" w:space="0" w:color="C8CDD4"/>
              <w:start w:val="single" w:sz="4" w:space="0" w:color="C8CDD4"/>
              <w:bottom w:val="single" w:sz="4" w:space="0" w:color="C8CDD4"/>
              <w:end w:val="single" w:sz="4" w:space="0" w:color="C8CDD4"/>
            </w:tcBorders>
            <w:vAlign w:val="center"/>
          </w:tcPr>
          <w:p>
            <w:pPr>
              <w:pStyle w:val="Normal"/>
              <w:rPr/>
            </w:pPr>
            <w:r>
              <w:rPr>
                <w:rFonts w:eastAsia="Arial" w:cs="Arial"/>
                <w:color w:val="1F2937"/>
                <w:sz w:val="18"/>
                <w:szCs w:val="18"/>
              </w:rPr>
              <w:t>28 April 2027</w:t>
            </w:r>
          </w:p>
        </w:tc>
      </w:tr>
      <w:tr>
        <w:trPr/>
        <w:tc>
          <w:tcPr>
            <w:tcW w:w="2799" w:type="dxa"/>
            <w:tcBorders>
              <w:top w:val="single" w:sz="4" w:space="0" w:color="C8CDD4"/>
              <w:start w:val="single" w:sz="4" w:space="0" w:color="C8CDD4"/>
              <w:bottom w:val="single" w:sz="4" w:space="0" w:color="C8CDD4"/>
              <w:end w:val="single" w:sz="4" w:space="0" w:color="C8CDD4"/>
            </w:tcBorders>
            <w:shd w:color="auto" w:fill="F4F6F9" w:val="clear"/>
            <w:vAlign w:val="center"/>
          </w:tcPr>
          <w:p>
            <w:pPr>
              <w:pStyle w:val="Normal"/>
              <w:rPr/>
            </w:pPr>
            <w:r>
              <w:rPr>
                <w:rFonts w:eastAsia="Arial" w:cs="Arial"/>
                <w:b/>
                <w:bCs/>
                <w:color w:val="1F2937"/>
                <w:sz w:val="18"/>
                <w:szCs w:val="18"/>
              </w:rPr>
              <w:t>Document Owner</w:t>
            </w:r>
          </w:p>
        </w:tc>
        <w:tc>
          <w:tcPr>
            <w:tcW w:w="6838" w:type="dxa"/>
            <w:tcBorders>
              <w:top w:val="single" w:sz="4" w:space="0" w:color="C8CDD4"/>
              <w:start w:val="single" w:sz="4" w:space="0" w:color="C8CDD4"/>
              <w:bottom w:val="single" w:sz="4" w:space="0" w:color="C8CDD4"/>
              <w:end w:val="single" w:sz="4" w:space="0" w:color="C8CDD4"/>
            </w:tcBorders>
            <w:vAlign w:val="center"/>
          </w:tcPr>
          <w:p>
            <w:pPr>
              <w:pStyle w:val="Normal"/>
              <w:rPr/>
            </w:pPr>
            <w:r>
              <w:rPr>
                <w:rFonts w:eastAsia="Arial" w:cs="Arial"/>
                <w:color w:val="1F2937"/>
                <w:sz w:val="18"/>
                <w:szCs w:val="18"/>
              </w:rPr>
              <w:t>Information Security Manager</w:t>
            </w:r>
          </w:p>
        </w:tc>
      </w:tr>
      <w:tr>
        <w:trPr/>
        <w:tc>
          <w:tcPr>
            <w:tcW w:w="2799" w:type="dxa"/>
            <w:tcBorders>
              <w:top w:val="single" w:sz="4" w:space="0" w:color="C8CDD4"/>
              <w:start w:val="single" w:sz="4" w:space="0" w:color="C8CDD4"/>
              <w:bottom w:val="single" w:sz="4" w:space="0" w:color="C8CDD4"/>
              <w:end w:val="single" w:sz="4" w:space="0" w:color="C8CDD4"/>
            </w:tcBorders>
            <w:shd w:color="auto" w:fill="F4F6F9" w:val="clear"/>
            <w:vAlign w:val="center"/>
          </w:tcPr>
          <w:p>
            <w:pPr>
              <w:pStyle w:val="Normal"/>
              <w:rPr/>
            </w:pPr>
            <w:r>
              <w:rPr>
                <w:rFonts w:eastAsia="Arial" w:cs="Arial"/>
                <w:b/>
                <w:bCs/>
                <w:color w:val="1F2937"/>
                <w:sz w:val="18"/>
                <w:szCs w:val="18"/>
              </w:rPr>
              <w:t>Document Approver</w:t>
            </w:r>
          </w:p>
        </w:tc>
        <w:tc>
          <w:tcPr>
            <w:tcW w:w="6838" w:type="dxa"/>
            <w:tcBorders>
              <w:top w:val="single" w:sz="4" w:space="0" w:color="C8CDD4"/>
              <w:start w:val="single" w:sz="4" w:space="0" w:color="C8CDD4"/>
              <w:bottom w:val="single" w:sz="4" w:space="0" w:color="C8CDD4"/>
              <w:end w:val="single" w:sz="4" w:space="0" w:color="C8CDD4"/>
            </w:tcBorders>
            <w:vAlign w:val="center"/>
          </w:tcPr>
          <w:p>
            <w:pPr>
              <w:pStyle w:val="Normal"/>
              <w:rPr/>
            </w:pPr>
            <w:r>
              <w:rPr>
                <w:rFonts w:eastAsia="Arial" w:cs="Arial"/>
                <w:color w:val="1F2937"/>
                <w:sz w:val="18"/>
                <w:szCs w:val="18"/>
              </w:rPr>
              <w:t>Senior Management / ISMS Steering Group</w:t>
            </w:r>
          </w:p>
        </w:tc>
      </w:tr>
      <w:tr>
        <w:trPr/>
        <w:tc>
          <w:tcPr>
            <w:tcW w:w="2799" w:type="dxa"/>
            <w:tcBorders>
              <w:top w:val="single" w:sz="4" w:space="0" w:color="C8CDD4"/>
              <w:start w:val="single" w:sz="4" w:space="0" w:color="C8CDD4"/>
              <w:bottom w:val="single" w:sz="4" w:space="0" w:color="C8CDD4"/>
              <w:end w:val="single" w:sz="4" w:space="0" w:color="C8CDD4"/>
            </w:tcBorders>
            <w:shd w:color="auto" w:fill="F4F6F9" w:val="clear"/>
            <w:vAlign w:val="center"/>
          </w:tcPr>
          <w:p>
            <w:pPr>
              <w:pStyle w:val="Normal"/>
              <w:rPr/>
            </w:pPr>
            <w:r>
              <w:rPr>
                <w:rFonts w:eastAsia="Arial" w:cs="Arial"/>
                <w:b/>
                <w:bCs/>
                <w:color w:val="1F2937"/>
                <w:sz w:val="18"/>
                <w:szCs w:val="18"/>
              </w:rPr>
              <w:t>Standard</w:t>
            </w:r>
          </w:p>
        </w:tc>
        <w:tc>
          <w:tcPr>
            <w:tcW w:w="6838" w:type="dxa"/>
            <w:tcBorders>
              <w:top w:val="single" w:sz="4" w:space="0" w:color="C8CDD4"/>
              <w:start w:val="single" w:sz="4" w:space="0" w:color="C8CDD4"/>
              <w:bottom w:val="single" w:sz="4" w:space="0" w:color="C8CDD4"/>
              <w:end w:val="single" w:sz="4" w:space="0" w:color="C8CDD4"/>
            </w:tcBorders>
            <w:vAlign w:val="center"/>
          </w:tcPr>
          <w:p>
            <w:pPr>
              <w:pStyle w:val="Normal"/>
              <w:rPr/>
            </w:pPr>
            <w:r>
              <w:rPr>
                <w:rFonts w:eastAsia="Arial" w:cs="Arial"/>
                <w:color w:val="1F2937"/>
                <w:sz w:val="18"/>
                <w:szCs w:val="18"/>
              </w:rPr>
              <w:t>ISO/IEC 27001:2022 — Annex A (93 controls)</w:t>
            </w:r>
          </w:p>
        </w:tc>
      </w:tr>
      <w:tr>
        <w:trPr/>
        <w:tc>
          <w:tcPr>
            <w:tcW w:w="2799" w:type="dxa"/>
            <w:tcBorders>
              <w:top w:val="single" w:sz="4" w:space="0" w:color="C8CDD4"/>
              <w:start w:val="single" w:sz="4" w:space="0" w:color="C8CDD4"/>
              <w:bottom w:val="single" w:sz="4" w:space="0" w:color="C8CDD4"/>
              <w:end w:val="single" w:sz="4" w:space="0" w:color="C8CDD4"/>
            </w:tcBorders>
            <w:shd w:color="auto" w:fill="F4F6F9" w:val="clear"/>
            <w:vAlign w:val="center"/>
          </w:tcPr>
          <w:p>
            <w:pPr>
              <w:pStyle w:val="Normal"/>
              <w:rPr/>
            </w:pPr>
            <w:r>
              <w:rPr>
                <w:rFonts w:eastAsia="Arial" w:cs="Arial"/>
                <w:b/>
                <w:bCs/>
                <w:color w:val="1F2937"/>
                <w:sz w:val="18"/>
                <w:szCs w:val="18"/>
              </w:rPr>
              <w:t>Organisation</w:t>
            </w:r>
          </w:p>
        </w:tc>
        <w:tc>
          <w:tcPr>
            <w:tcW w:w="6838" w:type="dxa"/>
            <w:tcBorders>
              <w:top w:val="single" w:sz="4" w:space="0" w:color="C8CDD4"/>
              <w:start w:val="single" w:sz="4" w:space="0" w:color="C8CDD4"/>
              <w:bottom w:val="single" w:sz="4" w:space="0" w:color="C8CDD4"/>
              <w:end w:val="single" w:sz="4" w:space="0" w:color="C8CDD4"/>
            </w:tcBorders>
            <w:vAlign w:val="center"/>
          </w:tcPr>
          <w:p>
            <w:pPr>
              <w:pStyle w:val="Normal"/>
              <w:rPr/>
            </w:pPr>
            <w:r>
              <w:rPr>
                <w:rFonts w:eastAsia="Arial" w:cs="Arial"/>
                <w:color w:val="1F2937"/>
                <w:sz w:val="18"/>
                <w:szCs w:val="18"/>
              </w:rPr>
              <w:t>Cloudax Ltd  •  Companies House 14717183</w:t>
            </w:r>
          </w:p>
        </w:tc>
      </w:tr>
      <w:tr>
        <w:trPr/>
        <w:tc>
          <w:tcPr>
            <w:tcW w:w="2799" w:type="dxa"/>
            <w:tcBorders>
              <w:top w:val="single" w:sz="4" w:space="0" w:color="C8CDD4"/>
              <w:start w:val="single" w:sz="4" w:space="0" w:color="C8CDD4"/>
              <w:bottom w:val="single" w:sz="4" w:space="0" w:color="C8CDD4"/>
              <w:end w:val="single" w:sz="4" w:space="0" w:color="C8CDD4"/>
            </w:tcBorders>
            <w:shd w:color="auto" w:fill="F4F6F9" w:val="clear"/>
            <w:vAlign w:val="center"/>
          </w:tcPr>
          <w:p>
            <w:pPr>
              <w:pStyle w:val="Normal"/>
              <w:rPr/>
            </w:pPr>
            <w:r>
              <w:rPr>
                <w:rFonts w:eastAsia="Arial" w:cs="Arial"/>
                <w:b/>
                <w:bCs/>
                <w:color w:val="1F2937"/>
                <w:sz w:val="18"/>
                <w:szCs w:val="18"/>
              </w:rPr>
              <w:t>Registered Office</w:t>
            </w:r>
          </w:p>
        </w:tc>
        <w:tc>
          <w:tcPr>
            <w:tcW w:w="6838" w:type="dxa"/>
            <w:tcBorders>
              <w:top w:val="single" w:sz="4" w:space="0" w:color="C8CDD4"/>
              <w:start w:val="single" w:sz="4" w:space="0" w:color="C8CDD4"/>
              <w:bottom w:val="single" w:sz="4" w:space="0" w:color="C8CDD4"/>
              <w:end w:val="single" w:sz="4" w:space="0" w:color="C8CDD4"/>
            </w:tcBorders>
            <w:vAlign w:val="center"/>
          </w:tcPr>
          <w:p>
            <w:pPr>
              <w:pStyle w:val="Normal"/>
              <w:rPr/>
            </w:pPr>
            <w:r>
              <w:rPr>
                <w:rFonts w:eastAsia="Arial" w:cs="Arial"/>
                <w:color w:val="1F2937"/>
                <w:sz w:val="18"/>
                <w:szCs w:val="18"/>
              </w:rPr>
              <w:t>167-169 Great Portland Street, Fifth Floor, London, W1W 5PF</w:t>
            </w:r>
          </w:p>
        </w:tc>
      </w:tr>
    </w:tbl>
    <w:p>
      <w:pPr>
        <w:pStyle w:val="Normal"/>
        <w:spacing w:before="0" w:after="240"/>
        <w:rPr/>
      </w:pPr>
      <w:r>
        <w:rPr/>
      </w:r>
    </w:p>
    <w:p>
      <w:pPr>
        <w:pStyle w:val="Heading2"/>
        <w:spacing w:before="280" w:after="160"/>
        <w:rPr/>
      </w:pPr>
      <w:r>
        <w:rPr>
          <w:rFonts w:eastAsia="Arial" w:cs="Arial" w:ascii="Arial" w:hAnsi="Arial"/>
          <w:b/>
          <w:bCs/>
          <w:color w:val="0A2540"/>
          <w:sz w:val="26"/>
          <w:szCs w:val="26"/>
        </w:rPr>
        <w:t>2.  Version History</w:t>
      </w:r>
    </w:p>
    <w:tbl>
      <w:tblPr>
        <w:tblW w:w="9638" w:type="dxa"/>
        <w:jc w:val="start"/>
        <w:tblInd w:w="0" w:type="dxa"/>
        <w:tblLayout w:type="fixed"/>
        <w:tblCellMar>
          <w:top w:w="100" w:type="dxa"/>
          <w:start w:w="120" w:type="dxa"/>
          <w:bottom w:w="100" w:type="dxa"/>
          <w:end w:w="120" w:type="dxa"/>
        </w:tblCellMar>
      </w:tblPr>
      <w:tblGrid>
        <w:gridCol w:w="1000"/>
        <w:gridCol w:w="1799"/>
        <w:gridCol w:w="2201"/>
        <w:gridCol w:w="4637"/>
      </w:tblGrid>
      <w:tr>
        <w:trPr>
          <w:tblHeader w:val="true"/>
        </w:trPr>
        <w:tc>
          <w:tcPr>
            <w:tcW w:w="1000"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Version</w:t>
            </w:r>
          </w:p>
        </w:tc>
        <w:tc>
          <w:tcPr>
            <w:tcW w:w="1799"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Date</w:t>
            </w:r>
          </w:p>
        </w:tc>
        <w:tc>
          <w:tcPr>
            <w:tcW w:w="2201"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Author</w:t>
            </w:r>
          </w:p>
        </w:tc>
        <w:tc>
          <w:tcPr>
            <w:tcW w:w="4637"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Description of Change</w:t>
            </w:r>
          </w:p>
        </w:tc>
      </w:tr>
      <w:tr>
        <w:trPr/>
        <w:tc>
          <w:tcPr>
            <w:tcW w:w="10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1.0</w:t>
            </w:r>
          </w:p>
        </w:tc>
        <w:tc>
          <w:tcPr>
            <w:tcW w:w="1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28 April 2026</w:t>
            </w:r>
          </w:p>
        </w:tc>
        <w:tc>
          <w:tcPr>
            <w:tcW w:w="2201"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Security Manager</w:t>
            </w:r>
          </w:p>
        </w:tc>
        <w:tc>
          <w:tcPr>
            <w:tcW w:w="46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Initial draft of the Statement of Applicability.</w:t>
            </w:r>
          </w:p>
        </w:tc>
      </w:tr>
      <w:tr>
        <w:trPr/>
        <w:tc>
          <w:tcPr>
            <w:tcW w:w="10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2.0</w:t>
            </w:r>
          </w:p>
        </w:tc>
        <w:tc>
          <w:tcPr>
            <w:tcW w:w="1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28 April 2026</w:t>
            </w:r>
          </w:p>
        </w:tc>
        <w:tc>
          <w:tcPr>
            <w:tcW w:w="2201"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Security Manager</w:t>
            </w:r>
          </w:p>
        </w:tc>
        <w:tc>
          <w:tcPr>
            <w:tcW w:w="46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Scope refined to Cloudax Connect platform; supporting metadata added.</w:t>
            </w:r>
          </w:p>
        </w:tc>
      </w:tr>
      <w:tr>
        <w:trPr/>
        <w:tc>
          <w:tcPr>
            <w:tcW w:w="10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3.0</w:t>
            </w:r>
          </w:p>
        </w:tc>
        <w:tc>
          <w:tcPr>
            <w:tcW w:w="1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28 April 2026</w:t>
            </w:r>
          </w:p>
        </w:tc>
        <w:tc>
          <w:tcPr>
            <w:tcW w:w="2201"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Security Manager</w:t>
            </w:r>
          </w:p>
        </w:tc>
        <w:tc>
          <w:tcPr>
            <w:tcW w:w="46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Justifications expanded with Cloudax-specific context. Risk linkage added.</w:t>
            </w:r>
          </w:p>
        </w:tc>
      </w:tr>
      <w:tr>
        <w:trPr/>
        <w:tc>
          <w:tcPr>
            <w:tcW w:w="10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4.0</w:t>
            </w:r>
          </w:p>
        </w:tc>
        <w:tc>
          <w:tcPr>
            <w:tcW w:w="1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28 April 2026</w:t>
            </w:r>
          </w:p>
        </w:tc>
        <w:tc>
          <w:tcPr>
            <w:tcW w:w="2201"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Security Manager</w:t>
            </w:r>
          </w:p>
        </w:tc>
        <w:tc>
          <w:tcPr>
            <w:tcW w:w="46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Restructured as audit-grade controlled ISMS document. Methodology section added. Justifications consolidated. Implementation status differentiated. Document references aligned with ISMS document library.</w:t>
            </w:r>
          </w:p>
        </w:tc>
      </w:tr>
    </w:tbl>
    <w:p>
      <w:pPr>
        <w:pStyle w:val="Normal"/>
        <w:spacing w:before="0" w:after="240"/>
        <w:rPr/>
      </w:pPr>
      <w:r>
        <w:rPr/>
      </w:r>
    </w:p>
    <w:p>
      <w:pPr>
        <w:pStyle w:val="Heading2"/>
        <w:spacing w:before="280" w:after="160"/>
        <w:rPr/>
      </w:pPr>
      <w:r>
        <w:rPr>
          <w:rFonts w:eastAsia="Arial" w:cs="Arial" w:ascii="Arial" w:hAnsi="Arial"/>
          <w:b/>
          <w:bCs/>
          <w:color w:val="0A2540"/>
          <w:sz w:val="26"/>
          <w:szCs w:val="26"/>
        </w:rPr>
        <w:t>3.  Approval and Sign-off</w:t>
      </w:r>
    </w:p>
    <w:p>
      <w:pPr>
        <w:pStyle w:val="Normal"/>
        <w:spacing w:before="0" w:after="120"/>
        <w:jc w:val="start"/>
        <w:rPr/>
      </w:pPr>
      <w:r>
        <w:rPr>
          <w:rFonts w:eastAsia="Arial" w:cs="Arial"/>
          <w:b w:val="false"/>
          <w:bCs w:val="false"/>
          <w:i w:val="false"/>
          <w:iCs w:val="false"/>
          <w:color w:val="1F2937"/>
          <w:sz w:val="20"/>
          <w:szCs w:val="20"/>
        </w:rPr>
        <w:t>By signing this document, the named approvers acknowledge that this Statement of Applicability accurately reflects the applicability of ISO/IEC 27001:2022 Annex A controls to the Information Security Management System as scoped, and authorise its issue.</w:t>
      </w:r>
    </w:p>
    <w:p>
      <w:pPr>
        <w:pStyle w:val="Normal"/>
        <w:spacing w:before="0" w:after="60"/>
        <w:rPr/>
      </w:pPr>
      <w:r>
        <w:rPr/>
      </w:r>
    </w:p>
    <w:tbl>
      <w:tblPr>
        <w:tblW w:w="9638" w:type="dxa"/>
        <w:jc w:val="start"/>
        <w:tblInd w:w="0" w:type="dxa"/>
        <w:tblLayout w:type="fixed"/>
        <w:tblCellMar>
          <w:top w:w="100" w:type="dxa"/>
          <w:start w:w="120" w:type="dxa"/>
          <w:bottom w:w="100" w:type="dxa"/>
          <w:end w:w="120" w:type="dxa"/>
        </w:tblCellMar>
      </w:tblPr>
      <w:tblGrid>
        <w:gridCol w:w="3199"/>
        <w:gridCol w:w="3219"/>
        <w:gridCol w:w="3220"/>
      </w:tblGrid>
      <w:tr>
        <w:trPr>
          <w:tblHeader w:val="true"/>
        </w:trPr>
        <w:tc>
          <w:tcPr>
            <w:tcW w:w="3199"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Role</w:t>
            </w:r>
          </w:p>
        </w:tc>
        <w:tc>
          <w:tcPr>
            <w:tcW w:w="3219"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Name</w:t>
            </w:r>
          </w:p>
        </w:tc>
        <w:tc>
          <w:tcPr>
            <w:tcW w:w="3220"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Signature / Date</w:t>
            </w:r>
          </w:p>
        </w:tc>
      </w:tr>
      <w:tr>
        <w:trPr/>
        <w:tc>
          <w:tcPr>
            <w:tcW w:w="31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Document Owner</w:t>
            </w:r>
          </w:p>
        </w:tc>
        <w:tc>
          <w:tcPr>
            <w:tcW w:w="321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Security Manager</w:t>
            </w:r>
          </w:p>
        </w:tc>
        <w:tc>
          <w:tcPr>
            <w:tcW w:w="322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
          </w:p>
        </w:tc>
      </w:tr>
      <w:tr>
        <w:trPr/>
        <w:tc>
          <w:tcPr>
            <w:tcW w:w="31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Approver — Chief Executive</w:t>
            </w:r>
          </w:p>
        </w:tc>
        <w:tc>
          <w:tcPr>
            <w:tcW w:w="321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
          </w:p>
        </w:tc>
        <w:tc>
          <w:tcPr>
            <w:tcW w:w="322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
          </w:p>
        </w:tc>
      </w:tr>
      <w:tr>
        <w:trPr/>
        <w:tc>
          <w:tcPr>
            <w:tcW w:w="31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Approver — ISMS Steering Group Chair</w:t>
            </w:r>
          </w:p>
        </w:tc>
        <w:tc>
          <w:tcPr>
            <w:tcW w:w="321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
          </w:p>
        </w:tc>
        <w:tc>
          <w:tcPr>
            <w:tcW w:w="322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
          </w:p>
        </w:tc>
      </w:tr>
    </w:tbl>
    <w:p>
      <w:pPr>
        <w:pStyle w:val="Normal"/>
        <w:rPr/>
      </w:pPr>
      <w:r>
        <w:rPr/>
      </w:r>
      <w:r>
        <w:br w:type="page"/>
      </w:r>
    </w:p>
    <w:p>
      <w:pPr>
        <w:pStyle w:val="Heading1"/>
        <w:spacing w:before="0" w:after="200"/>
        <w:rPr/>
      </w:pPr>
      <w:r>
        <w:rPr>
          <w:rFonts w:eastAsia="Arial" w:cs="Arial" w:ascii="Arial" w:hAnsi="Arial"/>
          <w:b/>
          <w:bCs/>
          <w:color w:val="0A2540"/>
          <w:sz w:val="32"/>
          <w:szCs w:val="32"/>
        </w:rPr>
        <w:t>4.  Purpose and Scope</w:t>
      </w:r>
    </w:p>
    <w:p>
      <w:pPr>
        <w:pStyle w:val="Heading2"/>
        <w:spacing w:before="280" w:after="160"/>
        <w:rPr/>
      </w:pPr>
      <w:r>
        <w:rPr>
          <w:rFonts w:eastAsia="Arial" w:cs="Arial" w:ascii="Arial" w:hAnsi="Arial"/>
          <w:b/>
          <w:bCs/>
          <w:color w:val="0A2540"/>
          <w:sz w:val="26"/>
          <w:szCs w:val="26"/>
        </w:rPr>
        <w:t>4.1  Purpose</w:t>
      </w:r>
    </w:p>
    <w:p>
      <w:pPr>
        <w:pStyle w:val="Normal"/>
        <w:spacing w:before="0" w:after="120"/>
        <w:jc w:val="start"/>
        <w:rPr/>
      </w:pPr>
      <w:r>
        <w:rPr>
          <w:rFonts w:eastAsia="Arial" w:cs="Arial"/>
          <w:b w:val="false"/>
          <w:bCs w:val="false"/>
          <w:i w:val="false"/>
          <w:iCs w:val="false"/>
          <w:color w:val="1F2937"/>
          <w:sz w:val="20"/>
          <w:szCs w:val="20"/>
        </w:rPr>
        <w:t>This Statement of Applicability identifies the controls from ISO/IEC 27001:2022 Annex A that have been determined to be applicable to the Cloudax Ltd Information Security Management System (ISMS), records the justification for inclusion or exclusion of each control, and references the documents and configurations that evidence implementation. It is the principal control-level reference for the ISMS, satisfies the requirement of Clause 6.1.3.d of ISO/IEC 27001:2022, and is reviewed at least annually and following any material change to the ISMS scope, risk environment, or applicable controls.</w:t>
      </w:r>
    </w:p>
    <w:p>
      <w:pPr>
        <w:pStyle w:val="Heading2"/>
        <w:spacing w:before="280" w:after="160"/>
        <w:rPr/>
      </w:pPr>
      <w:r>
        <w:rPr>
          <w:rFonts w:eastAsia="Arial" w:cs="Arial" w:ascii="Arial" w:hAnsi="Arial"/>
          <w:b/>
          <w:bCs/>
          <w:color w:val="0A2540"/>
          <w:sz w:val="26"/>
          <w:szCs w:val="26"/>
        </w:rPr>
        <w:t>4.2  ISMS Scope</w:t>
      </w:r>
    </w:p>
    <w:p>
      <w:pPr>
        <w:pStyle w:val="Normal"/>
        <w:spacing w:before="0" w:after="120"/>
        <w:jc w:val="start"/>
        <w:rPr/>
      </w:pPr>
      <w:r>
        <w:rPr>
          <w:rFonts w:eastAsia="Arial" w:cs="Arial"/>
          <w:b w:val="false"/>
          <w:bCs w:val="false"/>
          <w:i w:val="false"/>
          <w:iCs w:val="false"/>
          <w:color w:val="1F2937"/>
          <w:sz w:val="20"/>
          <w:szCs w:val="20"/>
        </w:rPr>
        <w:t>The ISMS scope encompasses the design, development, hosting, operation and support of the Cloudax Connect conversational AI platform — including inbound triage, outbound campaign and virtual receptionist services — delivered to enterprise customers from cloud-hosted infrastructure (Amazon Web Services, Microsoft Azure and Google Cloud Platform) by Cloudax personnel operating remotely from the United Kingdom.</w:t>
      </w:r>
    </w:p>
    <w:p>
      <w:pPr>
        <w:pStyle w:val="Normal"/>
        <w:spacing w:before="0" w:after="120"/>
        <w:jc w:val="start"/>
        <w:rPr/>
      </w:pPr>
      <w:r>
        <w:rPr>
          <w:rFonts w:eastAsia="Arial" w:cs="Arial"/>
          <w:b w:val="false"/>
          <w:bCs w:val="false"/>
          <w:i w:val="false"/>
          <w:iCs w:val="false"/>
          <w:color w:val="1F2937"/>
          <w:sz w:val="20"/>
          <w:szCs w:val="20"/>
        </w:rPr>
        <w:t>Excluded from scope: legacy marketing-agency services (pay-per-click advertising, search engine optimisation and bespoke web development) where these are delivered separately from and do not interact with the Cloudax Connect platform.</w:t>
      </w:r>
    </w:p>
    <w:p>
      <w:pPr>
        <w:pStyle w:val="Heading2"/>
        <w:spacing w:before="280" w:after="160"/>
        <w:rPr/>
      </w:pPr>
      <w:r>
        <w:rPr>
          <w:rFonts w:eastAsia="Arial" w:cs="Arial" w:ascii="Arial" w:hAnsi="Arial"/>
          <w:b/>
          <w:bCs/>
          <w:color w:val="0A2540"/>
          <w:sz w:val="26"/>
          <w:szCs w:val="26"/>
        </w:rPr>
        <w:t>4.3  Organisational Context</w:t>
      </w:r>
    </w:p>
    <w:p>
      <w:pPr>
        <w:pStyle w:val="Normal"/>
        <w:spacing w:before="0" w:after="120"/>
        <w:jc w:val="start"/>
        <w:rPr/>
      </w:pPr>
      <w:r>
        <w:rPr>
          <w:rFonts w:eastAsia="Arial" w:cs="Arial"/>
          <w:b w:val="false"/>
          <w:bCs w:val="false"/>
          <w:i w:val="false"/>
          <w:iCs w:val="false"/>
          <w:color w:val="1F2937"/>
          <w:sz w:val="20"/>
          <w:szCs w:val="20"/>
        </w:rPr>
        <w:t>Cloudax Ltd is a United Kingdom company (Companies House registered number 14717183), with registered office at 167-169 Great Portland Street, Fifth Floor, London, W1W 5PF. The organisation operates with a fully remote workforce, no operational offices, and an entirely cloud-hosted technology estate. Personnel access information assets exclusively through company-managed devices over the public internet, secured via centralised identity, conditional access and endpoint controls.</w:t>
      </w:r>
    </w:p>
    <w:p>
      <w:pPr>
        <w:pStyle w:val="Normal"/>
        <w:rPr/>
      </w:pPr>
      <w:r>
        <w:rPr/>
      </w:r>
      <w:r>
        <w:br w:type="page"/>
      </w:r>
    </w:p>
    <w:p>
      <w:pPr>
        <w:pStyle w:val="Heading1"/>
        <w:spacing w:before="0" w:after="200"/>
        <w:rPr/>
      </w:pPr>
      <w:r>
        <w:rPr>
          <w:rFonts w:eastAsia="Arial" w:cs="Arial" w:ascii="Arial" w:hAnsi="Arial"/>
          <w:b/>
          <w:bCs/>
          <w:color w:val="0A2540"/>
          <w:sz w:val="32"/>
          <w:szCs w:val="32"/>
        </w:rPr>
        <w:t>5.  Methodology</w:t>
      </w:r>
    </w:p>
    <w:p>
      <w:pPr>
        <w:pStyle w:val="Heading2"/>
        <w:spacing w:before="280" w:after="160"/>
        <w:rPr/>
      </w:pPr>
      <w:r>
        <w:rPr>
          <w:rFonts w:eastAsia="Arial" w:cs="Arial" w:ascii="Arial" w:hAnsi="Arial"/>
          <w:b/>
          <w:bCs/>
          <w:color w:val="0A2540"/>
          <w:sz w:val="26"/>
          <w:szCs w:val="26"/>
        </w:rPr>
        <w:t>5.1  Determining Applicability</w:t>
      </w:r>
    </w:p>
    <w:p>
      <w:pPr>
        <w:pStyle w:val="Normal"/>
        <w:spacing w:before="0" w:after="120"/>
        <w:jc w:val="start"/>
        <w:rPr/>
      </w:pPr>
      <w:r>
        <w:rPr>
          <w:rFonts w:eastAsia="Arial" w:cs="Arial"/>
          <w:b w:val="false"/>
          <w:bCs w:val="false"/>
          <w:i w:val="false"/>
          <w:iCs w:val="false"/>
          <w:color w:val="1F2937"/>
          <w:sz w:val="20"/>
          <w:szCs w:val="20"/>
        </w:rPr>
        <w:t>Each Annex A control was assessed for applicability using the following criteria, applied in sequence. A control is applicable where one or more of the criteria is satisfied:</w:t>
      </w:r>
    </w:p>
    <w:p>
      <w:pPr>
        <w:pStyle w:val="Normal"/>
        <w:spacing w:before="0" w:after="120"/>
        <w:jc w:val="start"/>
        <w:rPr/>
      </w:pPr>
      <w:r>
        <w:rPr>
          <w:rFonts w:eastAsia="Arial" w:cs="Arial"/>
          <w:b w:val="false"/>
          <w:bCs w:val="false"/>
          <w:i w:val="false"/>
          <w:iCs w:val="false"/>
          <w:color w:val="1F2937"/>
          <w:sz w:val="20"/>
          <w:szCs w:val="20"/>
        </w:rPr>
        <w:t>a)  the control treats one or more risks identified in the Risk Register (REG-RISK-001), as a treatment selected during risk treatment planning;</w:t>
      </w:r>
    </w:p>
    <w:p>
      <w:pPr>
        <w:pStyle w:val="Normal"/>
        <w:spacing w:before="0" w:after="120"/>
        <w:jc w:val="start"/>
        <w:rPr/>
      </w:pPr>
      <w:r>
        <w:rPr>
          <w:rFonts w:eastAsia="Arial" w:cs="Arial"/>
          <w:b w:val="false"/>
          <w:bCs w:val="false"/>
          <w:i w:val="false"/>
          <w:iCs w:val="false"/>
          <w:color w:val="1F2937"/>
          <w:sz w:val="20"/>
          <w:szCs w:val="20"/>
        </w:rPr>
        <w:t>b)  the control is required to meet a legal, statutory, regulatory or contractual obligation identified in the Compliance Obligations Register (REG-COMP-001);</w:t>
      </w:r>
    </w:p>
    <w:p>
      <w:pPr>
        <w:pStyle w:val="Normal"/>
        <w:spacing w:before="0" w:after="120"/>
        <w:jc w:val="start"/>
        <w:rPr/>
      </w:pPr>
      <w:r>
        <w:rPr>
          <w:rFonts w:eastAsia="Arial" w:cs="Arial"/>
          <w:b w:val="false"/>
          <w:bCs w:val="false"/>
          <w:i w:val="false"/>
          <w:iCs w:val="false"/>
          <w:color w:val="1F2937"/>
          <w:sz w:val="20"/>
          <w:szCs w:val="20"/>
        </w:rPr>
        <w:t>c)  the control reflects a generally accepted information security best practice that addresses a credible threat to the assets within the ISMS scope, even where no specific risk has yet been formally registered;</w:t>
      </w:r>
    </w:p>
    <w:p>
      <w:pPr>
        <w:pStyle w:val="Normal"/>
        <w:spacing w:before="0" w:after="120"/>
        <w:jc w:val="start"/>
        <w:rPr/>
      </w:pPr>
      <w:r>
        <w:rPr>
          <w:rFonts w:eastAsia="Arial" w:cs="Arial"/>
          <w:b w:val="false"/>
          <w:bCs w:val="false"/>
          <w:i w:val="false"/>
          <w:iCs w:val="false"/>
          <w:color w:val="1F2937"/>
          <w:sz w:val="20"/>
          <w:szCs w:val="20"/>
        </w:rPr>
        <w:t>d)  the control is implicitly required to give effect to other applicable controls (for example, governance controls in clause A.5.1 are required to give effect to all other controls).</w:t>
      </w:r>
    </w:p>
    <w:p>
      <w:pPr>
        <w:pStyle w:val="Normal"/>
        <w:spacing w:before="0" w:after="120"/>
        <w:jc w:val="start"/>
        <w:rPr/>
      </w:pPr>
      <w:r>
        <w:rPr>
          <w:rFonts w:eastAsia="Arial" w:cs="Arial"/>
          <w:b w:val="false"/>
          <w:bCs w:val="false"/>
          <w:i w:val="false"/>
          <w:iCs w:val="false"/>
          <w:color w:val="1F2937"/>
          <w:sz w:val="20"/>
          <w:szCs w:val="20"/>
        </w:rPr>
        <w:t>A control is excluded only where none of the above criteria is satisfied, where the control addresses an asset, activity or context that does not exist within the ISMS scope, and where exclusion does not affect the organisation's ability or responsibility to provide information security.</w:t>
      </w:r>
    </w:p>
    <w:p>
      <w:pPr>
        <w:pStyle w:val="Heading2"/>
        <w:spacing w:before="280" w:after="160"/>
        <w:rPr/>
      </w:pPr>
      <w:r>
        <w:rPr>
          <w:rFonts w:eastAsia="Arial" w:cs="Arial" w:ascii="Arial" w:hAnsi="Arial"/>
          <w:b/>
          <w:bCs/>
          <w:color w:val="0A2540"/>
          <w:sz w:val="26"/>
          <w:szCs w:val="26"/>
        </w:rPr>
        <w:t>5.2  Inheritance of Controls</w:t>
      </w:r>
    </w:p>
    <w:p>
      <w:pPr>
        <w:pStyle w:val="Normal"/>
        <w:spacing w:before="0" w:after="120"/>
        <w:jc w:val="start"/>
        <w:rPr/>
      </w:pPr>
      <w:r>
        <w:rPr>
          <w:rFonts w:eastAsia="Arial" w:cs="Arial"/>
          <w:b w:val="false"/>
          <w:bCs w:val="false"/>
          <w:i w:val="false"/>
          <w:iCs w:val="false"/>
          <w:color w:val="1F2937"/>
          <w:sz w:val="20"/>
          <w:szCs w:val="20"/>
        </w:rPr>
        <w:t>Where a control's intent is satisfied through reliance on a third-party service provider (typically the cloud service providers), the control is recorded as applicable and the justification documents the reliance and the evidence basis. Reliance is supported by current independent audit reports (ISO/IEC 27001 certificates, SOC 2 Type II reports, or equivalent) maintained on file and reviewed at least annually under control 5.22.</w:t>
      </w:r>
    </w:p>
    <w:p>
      <w:pPr>
        <w:pStyle w:val="Heading2"/>
        <w:spacing w:before="280" w:after="160"/>
        <w:rPr/>
      </w:pPr>
      <w:r>
        <w:rPr>
          <w:rFonts w:eastAsia="Arial" w:cs="Arial" w:ascii="Arial" w:hAnsi="Arial"/>
          <w:b/>
          <w:bCs/>
          <w:color w:val="0A2540"/>
          <w:sz w:val="26"/>
          <w:szCs w:val="26"/>
        </w:rPr>
        <w:t>5.3  Implementation Status Definitions</w:t>
      </w:r>
    </w:p>
    <w:p>
      <w:pPr>
        <w:pStyle w:val="Normal"/>
        <w:spacing w:before="0" w:after="120"/>
        <w:jc w:val="start"/>
        <w:rPr/>
      </w:pPr>
      <w:r>
        <w:rPr>
          <w:rFonts w:eastAsia="Arial" w:cs="Arial"/>
          <w:b w:val="false"/>
          <w:bCs w:val="false"/>
          <w:i w:val="false"/>
          <w:iCs w:val="false"/>
          <w:color w:val="1F2937"/>
          <w:sz w:val="20"/>
          <w:szCs w:val="20"/>
        </w:rPr>
        <w:t>Implementation status is recorded for each applicable control using the following definitions:</w:t>
      </w:r>
    </w:p>
    <w:p>
      <w:pPr>
        <w:pStyle w:val="Normal"/>
        <w:spacing w:before="0" w:after="120"/>
        <w:jc w:val="start"/>
        <w:rPr/>
      </w:pPr>
      <w:r>
        <w:rPr>
          <w:rFonts w:eastAsia="Arial" w:cs="Arial"/>
          <w:b w:val="false"/>
          <w:bCs w:val="false"/>
          <w:i w:val="false"/>
          <w:iCs w:val="false"/>
          <w:color w:val="1F2937"/>
          <w:sz w:val="20"/>
          <w:szCs w:val="20"/>
        </w:rPr>
        <w:t>Implemented — the control is in operation, evidenced by configuration or records, and integrated into routine ISMS operation.</w:t>
      </w:r>
    </w:p>
    <w:p>
      <w:pPr>
        <w:pStyle w:val="Normal"/>
        <w:spacing w:before="0" w:after="120"/>
        <w:jc w:val="start"/>
        <w:rPr/>
      </w:pPr>
      <w:r>
        <w:rPr>
          <w:rFonts w:eastAsia="Arial" w:cs="Arial"/>
          <w:b w:val="false"/>
          <w:bCs w:val="false"/>
          <w:i w:val="false"/>
          <w:iCs w:val="false"/>
          <w:color w:val="1F2937"/>
          <w:sz w:val="20"/>
          <w:szCs w:val="20"/>
        </w:rPr>
        <w:t>Partially Implemented — the control is in operation but with one or more gaps in coverage, formality or evidence, identified for remediation.</w:t>
      </w:r>
    </w:p>
    <w:p>
      <w:pPr>
        <w:pStyle w:val="Normal"/>
        <w:spacing w:before="0" w:after="120"/>
        <w:jc w:val="start"/>
        <w:rPr/>
      </w:pPr>
      <w:r>
        <w:rPr>
          <w:rFonts w:eastAsia="Arial" w:cs="Arial"/>
          <w:b w:val="false"/>
          <w:bCs w:val="false"/>
          <w:i w:val="false"/>
          <w:iCs w:val="false"/>
          <w:color w:val="1F2937"/>
          <w:sz w:val="20"/>
          <w:szCs w:val="20"/>
        </w:rPr>
        <w:t>Planned — the control is not yet in operation but is included in the documented implementation plan, with a target completion date and assigned owner.</w:t>
      </w:r>
    </w:p>
    <w:p>
      <w:pPr>
        <w:pStyle w:val="Normal"/>
        <w:spacing w:before="0" w:after="120"/>
        <w:jc w:val="start"/>
        <w:rPr/>
      </w:pPr>
      <w:r>
        <w:rPr>
          <w:rFonts w:eastAsia="Arial" w:cs="Arial"/>
          <w:b w:val="false"/>
          <w:bCs w:val="false"/>
          <w:i w:val="false"/>
          <w:iCs w:val="false"/>
          <w:color w:val="1F2937"/>
          <w:sz w:val="20"/>
          <w:szCs w:val="20"/>
        </w:rPr>
        <w:t>Not Implemented — the control is applicable but not in operation, and not yet included in a remediation plan. (No controls currently bear this status.)</w:t>
      </w:r>
    </w:p>
    <w:p>
      <w:pPr>
        <w:pStyle w:val="Heading2"/>
        <w:spacing w:before="280" w:after="160"/>
        <w:rPr/>
      </w:pPr>
      <w:r>
        <w:rPr>
          <w:rFonts w:eastAsia="Arial" w:cs="Arial" w:ascii="Arial" w:hAnsi="Arial"/>
          <w:b/>
          <w:bCs/>
          <w:color w:val="0A2540"/>
          <w:sz w:val="26"/>
          <w:szCs w:val="26"/>
        </w:rPr>
        <w:t>5.4  Linkage to the Risk Register</w:t>
      </w:r>
    </w:p>
    <w:p>
      <w:pPr>
        <w:pStyle w:val="Normal"/>
        <w:spacing w:before="0" w:after="120"/>
        <w:jc w:val="start"/>
        <w:rPr/>
      </w:pPr>
      <w:r>
        <w:rPr>
          <w:rFonts w:eastAsia="Arial" w:cs="Arial"/>
          <w:b w:val="false"/>
          <w:bCs w:val="false"/>
          <w:i w:val="false"/>
          <w:iCs w:val="false"/>
          <w:color w:val="1F2937"/>
          <w:sz w:val="20"/>
          <w:szCs w:val="20"/>
        </w:rPr>
        <w:t>The justification for each applicable control includes the rationale derived from the risk assessment. The Risk Register (REG-RISK-001) maintains the bidirectional linkage between risks and treatments, identifying for each risk the controls applied as treatment, and for each control the risks it treats.</w:t>
      </w:r>
    </w:p>
    <w:p>
      <w:pPr>
        <w:pStyle w:val="Heading2"/>
        <w:spacing w:before="280" w:after="160"/>
        <w:rPr/>
      </w:pPr>
      <w:r>
        <w:rPr>
          <w:rFonts w:eastAsia="Arial" w:cs="Arial" w:ascii="Arial" w:hAnsi="Arial"/>
          <w:b/>
          <w:bCs/>
          <w:color w:val="0A2540"/>
          <w:sz w:val="26"/>
          <w:szCs w:val="26"/>
        </w:rPr>
        <w:t>5.5  Review and Maintenance</w:t>
      </w:r>
    </w:p>
    <w:p>
      <w:pPr>
        <w:pStyle w:val="Normal"/>
        <w:spacing w:before="0" w:after="120"/>
        <w:jc w:val="start"/>
        <w:rPr/>
      </w:pPr>
      <w:r>
        <w:rPr>
          <w:rFonts w:eastAsia="Arial" w:cs="Arial"/>
          <w:b w:val="false"/>
          <w:bCs w:val="false"/>
          <w:i w:val="false"/>
          <w:iCs w:val="false"/>
          <w:color w:val="1F2937"/>
          <w:sz w:val="20"/>
          <w:szCs w:val="20"/>
        </w:rPr>
        <w:t>This Statement of Applicability is reviewed at least annually as part of the management review cycle, and additionally upon any of the following triggers: a material change to the ISMS scope; the addition or removal of risks from the Risk Register that affect control applicability; the publication of a new version of ISO/IEC 27001 or its Annex A; the receipt of a non-conformity finding from internal or external audit affecting the SoA; or any other change determined by the Information Security Manager to warrant review.</w:t>
      </w:r>
    </w:p>
    <w:p>
      <w:pPr>
        <w:pStyle w:val="Normal"/>
        <w:spacing w:before="0" w:after="120"/>
        <w:jc w:val="start"/>
        <w:rPr/>
      </w:pPr>
      <w:r>
        <w:rPr>
          <w:rFonts w:eastAsia="Arial" w:cs="Arial"/>
          <w:b w:val="false"/>
          <w:bCs w:val="false"/>
          <w:i w:val="false"/>
          <w:iCs w:val="false"/>
          <w:color w:val="1F2937"/>
          <w:sz w:val="20"/>
          <w:szCs w:val="20"/>
        </w:rPr>
        <w:t>Changes are managed under the ISMS document-control process, with all versions retained and listed in the Version History at section 2 of this document.</w:t>
      </w:r>
    </w:p>
    <w:p>
      <w:pPr>
        <w:pStyle w:val="Normal"/>
        <w:rPr/>
      </w:pPr>
      <w:r>
        <w:rPr/>
      </w:r>
      <w:r>
        <w:br w:type="page"/>
      </w:r>
    </w:p>
    <w:p>
      <w:pPr>
        <w:pStyle w:val="Heading1"/>
        <w:spacing w:before="0" w:after="200"/>
        <w:rPr/>
      </w:pPr>
      <w:r>
        <w:rPr>
          <w:rFonts w:eastAsia="Arial" w:cs="Arial" w:ascii="Arial" w:hAnsi="Arial"/>
          <w:b/>
          <w:bCs/>
          <w:color w:val="0A2540"/>
          <w:sz w:val="32"/>
          <w:szCs w:val="32"/>
        </w:rPr>
        <w:t>6.  Summary of Applicability</w:t>
      </w:r>
    </w:p>
    <w:p>
      <w:pPr>
        <w:pStyle w:val="Normal"/>
        <w:spacing w:before="0" w:after="120"/>
        <w:jc w:val="start"/>
        <w:rPr/>
      </w:pPr>
      <w:r>
        <w:rPr>
          <w:rFonts w:eastAsia="Arial" w:cs="Arial"/>
          <w:b w:val="false"/>
          <w:bCs w:val="false"/>
          <w:i w:val="false"/>
          <w:iCs w:val="false"/>
          <w:color w:val="1F2937"/>
          <w:sz w:val="20"/>
          <w:szCs w:val="20"/>
        </w:rPr>
        <w:t>All 93 controls in ISO/IEC 27001:2022 Annex A are applicable to the Cloudax ISMS. No controls are excluded. The summary statistics below provide an overview of implementation status across the applicable control set.</w:t>
      </w:r>
    </w:p>
    <w:p>
      <w:pPr>
        <w:pStyle w:val="Normal"/>
        <w:spacing w:before="0" w:after="80"/>
        <w:rPr/>
      </w:pPr>
      <w:r>
        <w:rPr/>
      </w:r>
    </w:p>
    <w:tbl>
      <w:tblPr>
        <w:tblW w:w="9638" w:type="dxa"/>
        <w:jc w:val="start"/>
        <w:tblInd w:w="0" w:type="dxa"/>
        <w:tblLayout w:type="fixed"/>
        <w:tblCellMar>
          <w:top w:w="100" w:type="dxa"/>
          <w:start w:w="120" w:type="dxa"/>
          <w:bottom w:w="100" w:type="dxa"/>
          <w:end w:w="120" w:type="dxa"/>
        </w:tblCellMar>
      </w:tblPr>
      <w:tblGrid>
        <w:gridCol w:w="4399"/>
        <w:gridCol w:w="1501"/>
        <w:gridCol w:w="1500"/>
        <w:gridCol w:w="2237"/>
      </w:tblGrid>
      <w:tr>
        <w:trPr>
          <w:tblHeader w:val="true"/>
        </w:trPr>
        <w:tc>
          <w:tcPr>
            <w:tcW w:w="4399"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Metric</w:t>
            </w:r>
          </w:p>
        </w:tc>
        <w:tc>
          <w:tcPr>
            <w:tcW w:w="1501"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center"/>
              <w:rPr/>
            </w:pPr>
            <w:r>
              <w:rPr>
                <w:rFonts w:eastAsia="Arial" w:cs="Arial"/>
                <w:b/>
                <w:bCs/>
                <w:color w:val="FFFFFF"/>
                <w:sz w:val="18"/>
                <w:szCs w:val="18"/>
              </w:rPr>
              <w:t>Count</w:t>
            </w:r>
          </w:p>
        </w:tc>
        <w:tc>
          <w:tcPr>
            <w:tcW w:w="1500"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center"/>
              <w:rPr/>
            </w:pPr>
            <w:r>
              <w:rPr>
                <w:rFonts w:eastAsia="Arial" w:cs="Arial"/>
                <w:b/>
                <w:bCs/>
                <w:color w:val="FFFFFF"/>
                <w:sz w:val="18"/>
                <w:szCs w:val="18"/>
              </w:rPr>
              <w:t>Of Total</w:t>
            </w:r>
          </w:p>
        </w:tc>
        <w:tc>
          <w:tcPr>
            <w:tcW w:w="2237"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
          </w:p>
        </w:tc>
      </w:tr>
      <w:tr>
        <w:trPr/>
        <w:tc>
          <w:tcPr>
            <w:tcW w:w="43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Total Annex A controls</w:t>
            </w:r>
          </w:p>
        </w:tc>
        <w:tc>
          <w:tcPr>
            <w:tcW w:w="1501"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93</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
          </w:p>
        </w:tc>
        <w:tc>
          <w:tcPr>
            <w:tcW w:w="22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
          </w:p>
        </w:tc>
      </w:tr>
      <w:tr>
        <w:trPr/>
        <w:tc>
          <w:tcPr>
            <w:tcW w:w="43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Applicable controls</w:t>
            </w:r>
          </w:p>
        </w:tc>
        <w:tc>
          <w:tcPr>
            <w:tcW w:w="1501"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93</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val="false"/>
                <w:bCs w:val="false"/>
                <w:color w:val="1F2937"/>
                <w:sz w:val="17"/>
                <w:szCs w:val="17"/>
              </w:rPr>
              <w:t>100%</w:t>
            </w:r>
          </w:p>
        </w:tc>
        <w:tc>
          <w:tcPr>
            <w:tcW w:w="22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
          </w:p>
        </w:tc>
      </w:tr>
      <w:tr>
        <w:trPr/>
        <w:tc>
          <w:tcPr>
            <w:tcW w:w="43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Excluded controls</w:t>
            </w:r>
          </w:p>
        </w:tc>
        <w:tc>
          <w:tcPr>
            <w:tcW w:w="1501"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0</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val="false"/>
                <w:bCs w:val="false"/>
                <w:color w:val="1F2937"/>
                <w:sz w:val="17"/>
                <w:szCs w:val="17"/>
              </w:rPr>
              <w:t>0%</w:t>
            </w:r>
          </w:p>
        </w:tc>
        <w:tc>
          <w:tcPr>
            <w:tcW w:w="22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
          </w:p>
        </w:tc>
      </w:tr>
      <w:tr>
        <w:trPr/>
        <w:tc>
          <w:tcPr>
            <w:tcW w:w="43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Status: Implemented</w:t>
            </w:r>
          </w:p>
        </w:tc>
        <w:tc>
          <w:tcPr>
            <w:tcW w:w="1501"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26</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val="false"/>
                <w:bCs w:val="false"/>
                <w:color w:val="1F2937"/>
                <w:sz w:val="17"/>
                <w:szCs w:val="17"/>
              </w:rPr>
              <w:t>28%</w:t>
            </w:r>
          </w:p>
        </w:tc>
        <w:tc>
          <w:tcPr>
            <w:tcW w:w="22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
          </w:p>
        </w:tc>
      </w:tr>
      <w:tr>
        <w:trPr/>
        <w:tc>
          <w:tcPr>
            <w:tcW w:w="43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Status: Partially Implemented</w:t>
            </w:r>
          </w:p>
        </w:tc>
        <w:tc>
          <w:tcPr>
            <w:tcW w:w="1501"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40</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val="false"/>
                <w:bCs w:val="false"/>
                <w:color w:val="1F2937"/>
                <w:sz w:val="17"/>
                <w:szCs w:val="17"/>
              </w:rPr>
              <w:t>43%</w:t>
            </w:r>
          </w:p>
        </w:tc>
        <w:tc>
          <w:tcPr>
            <w:tcW w:w="22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
          </w:p>
        </w:tc>
      </w:tr>
      <w:tr>
        <w:trPr/>
        <w:tc>
          <w:tcPr>
            <w:tcW w:w="43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Status: Planned</w:t>
            </w:r>
          </w:p>
        </w:tc>
        <w:tc>
          <w:tcPr>
            <w:tcW w:w="1501"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27</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val="false"/>
                <w:bCs w:val="false"/>
                <w:color w:val="1F2937"/>
                <w:sz w:val="17"/>
                <w:szCs w:val="17"/>
              </w:rPr>
              <w:t>29%</w:t>
            </w:r>
          </w:p>
        </w:tc>
        <w:tc>
          <w:tcPr>
            <w:tcW w:w="22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
          </w:p>
        </w:tc>
      </w:tr>
      <w:tr>
        <w:trPr/>
        <w:tc>
          <w:tcPr>
            <w:tcW w:w="43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Status: Not Implemented</w:t>
            </w:r>
          </w:p>
        </w:tc>
        <w:tc>
          <w:tcPr>
            <w:tcW w:w="1501"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0</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val="false"/>
                <w:bCs w:val="false"/>
                <w:color w:val="1F2937"/>
                <w:sz w:val="17"/>
                <w:szCs w:val="17"/>
              </w:rPr>
              <w:t>0%</w:t>
            </w:r>
          </w:p>
        </w:tc>
        <w:tc>
          <w:tcPr>
            <w:tcW w:w="22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
          </w:p>
        </w:tc>
      </w:tr>
    </w:tbl>
    <w:p>
      <w:pPr>
        <w:pStyle w:val="Normal"/>
        <w:spacing w:before="0" w:after="160"/>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20" w:top="1440" w:footer="720" w:bottom="1440"/>
          <w:pgNumType w:fmt="decimal"/>
          <w:formProt w:val="false"/>
          <w:titlePg/>
          <w:textDirection w:val="lrTb"/>
          <w:docGrid w:type="default" w:linePitch="360" w:charSpace="8192"/>
        </w:sectPr>
        <w:pStyle w:val="Normal"/>
        <w:spacing w:before="0" w:after="120"/>
        <w:jc w:val="start"/>
        <w:rPr/>
      </w:pPr>
      <w:r>
        <w:rPr>
          <w:rFonts w:eastAsia="Arial" w:cs="Arial"/>
          <w:b w:val="false"/>
          <w:bCs w:val="false"/>
          <w:i w:val="false"/>
          <w:iCs w:val="false"/>
          <w:color w:val="1F2937"/>
          <w:sz w:val="20"/>
          <w:szCs w:val="20"/>
        </w:rPr>
        <w:t>Detailed assessment of each control is provided at section 7. Justification, implementation status and document references for each of the 93 controls follow.</w:t>
      </w:r>
    </w:p>
    <w:p>
      <w:pPr>
        <w:pStyle w:val="Heading1"/>
        <w:spacing w:before="360" w:after="200"/>
        <w:rPr/>
      </w:pPr>
      <w:r>
        <w:rPr>
          <w:rFonts w:eastAsia="Arial" w:cs="Arial" w:ascii="Arial" w:hAnsi="Arial"/>
          <w:b/>
          <w:bCs/>
          <w:color w:val="0A2540"/>
          <w:sz w:val="32"/>
          <w:szCs w:val="32"/>
        </w:rPr>
        <w:t>7.  Statement of Applicability</w:t>
      </w:r>
    </w:p>
    <w:p>
      <w:pPr>
        <w:pStyle w:val="Normal"/>
        <w:spacing w:before="0" w:after="120"/>
        <w:jc w:val="start"/>
        <w:rPr/>
      </w:pPr>
      <w:r>
        <w:rPr>
          <w:rFonts w:eastAsia="Arial" w:cs="Arial"/>
          <w:b w:val="false"/>
          <w:bCs w:val="false"/>
          <w:i w:val="false"/>
          <w:iCs w:val="false"/>
          <w:color w:val="1F2937"/>
          <w:sz w:val="20"/>
          <w:szCs w:val="20"/>
        </w:rPr>
        <w:t>The table below records, for each of the 93 controls in ISO/IEC 27001:2022 Annex A, the determination of applicability, the justification, the implementation status, and the reference to the controlling ISMS document or evidence.</w:t>
      </w:r>
    </w:p>
    <w:p>
      <w:pPr>
        <w:pStyle w:val="Normal"/>
        <w:spacing w:before="0" w:after="80"/>
        <w:rPr/>
      </w:pPr>
      <w:r>
        <w:rPr/>
      </w:r>
    </w:p>
    <w:tbl>
      <w:tblPr>
        <w:tblW w:w="14570" w:type="dxa"/>
        <w:jc w:val="start"/>
        <w:tblInd w:w="0" w:type="dxa"/>
        <w:tblLayout w:type="fixed"/>
        <w:tblCellMar>
          <w:top w:w="100" w:type="dxa"/>
          <w:start w:w="120" w:type="dxa"/>
          <w:bottom w:w="100" w:type="dxa"/>
          <w:end w:w="120" w:type="dxa"/>
        </w:tblCellMar>
      </w:tblPr>
      <w:tblGrid>
        <w:gridCol w:w="799"/>
        <w:gridCol w:w="2400"/>
        <w:gridCol w:w="800"/>
        <w:gridCol w:w="6300"/>
        <w:gridCol w:w="1700"/>
        <w:gridCol w:w="2570"/>
      </w:tblGrid>
      <w:tr>
        <w:trPr>
          <w:tblHeader w:val="true"/>
        </w:trPr>
        <w:tc>
          <w:tcPr>
            <w:tcW w:w="799"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center"/>
              <w:rPr/>
            </w:pPr>
            <w:r>
              <w:rPr>
                <w:rFonts w:eastAsia="Arial" w:cs="Arial"/>
                <w:b/>
                <w:bCs/>
                <w:color w:val="FFFFFF"/>
                <w:sz w:val="18"/>
                <w:szCs w:val="18"/>
              </w:rPr>
              <w:t>Ref</w:t>
            </w:r>
          </w:p>
        </w:tc>
        <w:tc>
          <w:tcPr>
            <w:tcW w:w="2400"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Control Title</w:t>
            </w:r>
          </w:p>
        </w:tc>
        <w:tc>
          <w:tcPr>
            <w:tcW w:w="800"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center"/>
              <w:rPr/>
            </w:pPr>
            <w:r>
              <w:rPr>
                <w:rFonts w:eastAsia="Arial" w:cs="Arial"/>
                <w:b/>
                <w:bCs/>
                <w:color w:val="FFFFFF"/>
                <w:sz w:val="18"/>
                <w:szCs w:val="18"/>
              </w:rPr>
              <w:t>Applicable</w:t>
            </w:r>
          </w:p>
        </w:tc>
        <w:tc>
          <w:tcPr>
            <w:tcW w:w="6300"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Justification for Inclusion / Exclusion</w:t>
            </w:r>
          </w:p>
        </w:tc>
        <w:tc>
          <w:tcPr>
            <w:tcW w:w="1700"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center"/>
              <w:rPr/>
            </w:pPr>
            <w:r>
              <w:rPr>
                <w:rFonts w:eastAsia="Arial" w:cs="Arial"/>
                <w:b/>
                <w:bCs/>
                <w:color w:val="FFFFFF"/>
                <w:sz w:val="18"/>
                <w:szCs w:val="18"/>
              </w:rPr>
              <w:t>Implementation Status</w:t>
            </w:r>
          </w:p>
        </w:tc>
        <w:tc>
          <w:tcPr>
            <w:tcW w:w="2570"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Document Reference</w:t>
            </w:r>
          </w:p>
        </w:tc>
      </w:tr>
      <w:tr>
        <w:trPr/>
        <w:tc>
          <w:tcPr>
            <w:tcW w:w="14569" w:type="dxa"/>
            <w:gridSpan w:val="6"/>
            <w:tcBorders>
              <w:top w:val="single" w:sz="4" w:space="0" w:color="C8CDD4"/>
              <w:start w:val="single" w:sz="4" w:space="0" w:color="C8CDD4"/>
              <w:bottom w:val="single" w:sz="4" w:space="0" w:color="C8CDD4"/>
              <w:end w:val="single" w:sz="4" w:space="0" w:color="C8CDD4"/>
            </w:tcBorders>
            <w:shd w:color="auto" w:fill="0A2540" w:val="clear"/>
            <w:tcMar>
              <w:start w:w="140" w:type="dxa"/>
              <w:end w:w="140" w:type="dxa"/>
            </w:tcMar>
            <w:vAlign w:val="center"/>
          </w:tcPr>
          <w:p>
            <w:pPr>
              <w:pStyle w:val="Normal"/>
              <w:rPr/>
            </w:pPr>
            <w:r>
              <w:rPr>
                <w:rFonts w:eastAsia="Arial" w:cs="Arial"/>
                <w:b/>
                <w:bCs/>
                <w:color w:val="FFFFFF"/>
                <w:sz w:val="22"/>
                <w:szCs w:val="22"/>
              </w:rPr>
              <w:t>A.5  Organisational Controls (37)</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5.1</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Policies for information security</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set management direction for the ISMS and demonstrate top-management commitment, providing the framework under which all other controls operate. Cloudax processes customer voice and personal data on behalf of enterprise customers, who require evidence of formal information security governance.</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POL-001 Information Security Policy</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5.2</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Information security roles and responsibilities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ensure clear accountability for the protection of information assets. In a small organisation, roles may be combined but must be assigned, documented and communicated.</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POL-001 §4; ISMS-RACI-001</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5.3</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Segregation of duties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mitigate risk of error or misuse where individuals could perform conflicting functions affecting customer data, source code or production systems. Where headcount limits full separation, compensating controls (peer review, deployment approvals) are documented.</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POL-002 Access Control Policy §3.4</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5.4</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Management responsibilities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ensure all personnel apply information security in accordance with established policies and procedures, with management visibly leading by example.</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POL-001 §3; MGT-MR-LOG</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5.5</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Contact with authorities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enable rapid notification under UK GDPR (72-hour ICO breach notification), liaison with NCSC and law enforcement, and demonstration of regulatory engagement.</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PRO-024 Breach Notification Procedure; REG-AUTH-001 Authority Contact Register</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5.6</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Contact with special interest groups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maintain awareness of evolving threats and best practice in the conversational AI and contact-centre domain, and to enable rapid information exchange during incidents affecting the wider sector.</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PRO-025 Threat Intelligence Procedure §2</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5.7</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Threat intelligence</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inform risk treatment, monitoring rules and supplier oversight in a domain where threat techniques (prompt injection, voice cloning, model abuse) evolve rapidly. Threat intelligence feeds detection and response capabilities under controls 8.16, 5.22 and 5.24.</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PRO-025 Threat Intelligence Procedure</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5.8</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Information security in project management</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embed information security and privacy considerations into the design of new platform features, customer integrations and infrastructure changes, ensuring controls are designed in rather than retrofitted.</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PRO-008 Project Security Procedure</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5.9</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Inventory of information and other associated assets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provide the foundation for risk assessment, access control, retention, encryption and incident response. Cloud-native asset discovery is supplemented by a manually maintained information asset register for non-discoverable assets such as fine-tuned models and prompt libraries.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REG-IAR-001 Information Asset Register</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5.10</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Acceptable use of information and other associated assets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set explicit expectations for staff handling of customer data, corporate assets and generative AI tooling, particularly relevant given staff routinely interact with consumer AI services that may exfiltrate inputs.</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POL-003 Acceptable Use Policy</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5.11</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Return of assets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recover company-issued laptops, peripherals and credentials at termination of employment or contract, despite the fully remote operating model.</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PRO-005 Joiner Mover Leaver Procedure §6</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5.12</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Classification of information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enable proportionate protection of information assets ranging from public marketing material to special-category personal data within voice recordings.</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POL-004 Information Classification Policy</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5.13</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Labelling of information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enable consistent handling and to support automated controls (DLP, retention, encryption decisions) that depend on classification.</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POL-004 §4 Labelling Standards</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5.14</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Information transfer</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control the secure exchange of information between Cloudax, customers, sub-processors (LLM providers, telephony partners, transcription engines) and third parties.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POL-005 Information Transfer Policy</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5.15</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Access control</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provide the policy framework under which logical and physical access controls operate, ensuring access is granted on the basis of business need and least privilege.</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POL-002 Access Control Policy</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5.16</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Identity management</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because identity is the primary perimeter in a fully cloud-hosted, remote-first organisation. Centralised identity provider with single sign-on covers all production and corporate systems.</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POL-002 §2; CFG-IDP-001</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5.17</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Authentication information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protect credentials, secrets and API keys used to access customer data, infrastructure, source code and third-party services. Compromise of authentication information is a primary attack vector.</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POL-002 §5; PRO-017 Secrets Management Procedure</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5.18</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Access rights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ensure access is granted, modified and revoked in line with the joiner-mover-leaver process, with regular review to detect privilege creep.</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PRO-005 §3 Access Reviews</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5.19</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security in supplier relationships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because Cloudax's threat surface is largely inherited from suppliers (hyperscalers, LLM providers, telephony, CRM); supplier security failure is a top organisational risk.</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POL-006 Supplier Security Policy</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5.20</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Addressing information security within supplier agreements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ensure security and data protection obligations (including UK GDPR Article 28 controller-processor terms) are contractually documented with all relevant suppliers.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POL-006 §5; CON-DPA-TEMPLATE</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5.21</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Managing information security in the ICT supply chain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because software supply chain compromise (malicious dependencies, container images, model weights) is a primary attack vector for AI platforms and warrants specific controls beyond general supplier management.</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POL-006 §7; PRO-021 Software Supply Chain Procedure</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5.22</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Monitoring, review and change management of supplier services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detect security-relevant changes by suppliers (model deprecations, API changes, security incidents at sub-processors) before they affect the Cloudax service.</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PRO-022 Supplier Monitoring Procedure</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5.23</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security for use of cloud services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because Cloudax operates entirely on cloud services with no on-premises infrastructure, making cloud-specific controls (shared responsibility, configuration baselines, exit strategy) central to the ISMS.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POL-007 Cloud Services Policy</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5.24</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Information security incident management planning and preparation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enable a coordinated response to incidents, given that an incident affecting Cloudax Connect simultaneously affects all customers' contact-centre operations.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PLAN-IRP-001 Incident Response Plan</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5.25</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Assessment and decision on information security events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triage security events from cloud-native and application monitoring sources, distinguishing routine alerts from incidents requiring response.</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PLAN-IRP-001 §4 Triage</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5.26</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Response to information security incidents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contain, eradicate and recover from incidents in a documented, repeatable manner that preserves evidence and meets contractual and regulatory deadlines.</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PLAN-IRP-001 §5 Response</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5.27</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Learning from information security incidents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feed lessons learned back into risk treatment, control design and training, and to demonstrate continual improvement of the ISMS.</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PLAN-IRP-001 §8 Lessons Learned</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5.28</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Collection of evidence</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support disciplinary, contractual or legal action following incidents, with particular attention to the constraints of cloud forensics (ephemeral resources, vendor-mediated access, log retention windows).</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PRO-026 Forensic Readiness Procedure</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5.29</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security during disruption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ensure that information security controls (access, encryption, logging) remain effective when normal operations are disrupted, preventing degraded-mode operations from creating exposure.</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PLAN-BCP-001 Business Continuity Plan</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5.30</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ICT readiness for business continuity</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because Cloudax Connect is a 24/7 critical service for customers' contact-centre operations, with contractual recovery time and recovery point objectives that must be technically achievable and tested.</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PLAN-DRP-001 Disaster Recovery Plan</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5.31</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Legal, statutory, regulatory and contractual requirements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identify and meet obligations arising from UK GDPR, Data Protection Act 2018, PECR (call recording disclosure and outbound consent), and contractual obligations to enterprise customers.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REG-COMP-001 Compliance Obligations Register</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5.32</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Intellectual property rights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protect Cloudax's proprietary models, prompts and source code, to respect third-party software licences (including open-source obligations), and to safeguard customer intellectual property within knowledge bases.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POL-008 Intellectual Property and Software Licence Policy</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5.33</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Protection of records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protect call recordings, transcripts, ISMS records and statutory records throughout their lifecycle, with retention aligned to legal and contractual obligations.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POL-009 Records Retention Policy</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5.34</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Privacy and protection of PII</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because voice recordings and transcripts routinely contain personal and special-category data, and PECR imposes specific obligations for call-recording disclosure and outbound consent that text-based platforms do not face.</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POL-010 Privacy Policy; REG-ROPA-001; REG-DPIA-001</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5.35</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Independent review of information security</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provide objective assurance over the ISMS through internal audit, penetration testing and external certification, both for management oversight and for enterprise customer due-diligence requirements.</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PROG-AUDIT-001 Internal Audit Programme</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5.36</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Compliance with policies, rules and standards for information security</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verify ongoing adherence to ISMS policies and applicable standards, with findings driving corrective action.</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PROG-COMP-001 Compliance Monitoring Schedule</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5.37</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Documented operating procedures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ensure consistent, secure operation of the platform regardless of personnel changes, particularly important in a small team where critical operational knowledge would otherwise be concentrated in a few individuals.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WIKI-OPS Operations Runbook Library</w:t>
            </w:r>
          </w:p>
        </w:tc>
      </w:tr>
      <w:tr>
        <w:trPr/>
        <w:tc>
          <w:tcPr>
            <w:tcW w:w="14569" w:type="dxa"/>
            <w:gridSpan w:val="6"/>
            <w:tcBorders>
              <w:top w:val="single" w:sz="4" w:space="0" w:color="C8CDD4"/>
              <w:start w:val="single" w:sz="4" w:space="0" w:color="C8CDD4"/>
              <w:bottom w:val="single" w:sz="4" w:space="0" w:color="C8CDD4"/>
              <w:end w:val="single" w:sz="4" w:space="0" w:color="C8CDD4"/>
            </w:tcBorders>
            <w:shd w:color="auto" w:fill="0A2540" w:val="clear"/>
            <w:tcMar>
              <w:start w:w="140" w:type="dxa"/>
              <w:end w:w="140" w:type="dxa"/>
            </w:tcMar>
            <w:vAlign w:val="center"/>
          </w:tcPr>
          <w:p>
            <w:pPr>
              <w:pStyle w:val="Normal"/>
              <w:rPr/>
            </w:pPr>
            <w:r>
              <w:rPr>
                <w:rFonts w:eastAsia="Arial" w:cs="Arial"/>
                <w:b/>
                <w:bCs/>
                <w:color w:val="FFFFFF"/>
                <w:sz w:val="22"/>
                <w:szCs w:val="22"/>
              </w:rPr>
              <w:t>A.6  People Controls (8)</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6.1</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Screening</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because personnel access customer voice data and production systems; right-to-work, references and basic disclosure checks are completed prior to access being granted.</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PRO-002 Personnel Screening Procedure</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6.2</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Terms and conditions of employment</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make information security responsibilities, confidentiality obligations and intellectual property assignment contractually binding on all personnel.</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TPL-EMP-001 Employment Contract Template</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6.3</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security awareness, education and training</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ensure personnel understand their security responsibilities, recognise relevant threats (including phishing, social engineering and AI-specific risks such as data leakage to consumer LLMs) and know how to respond.</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PROG-TRAIN-001 Awareness Training Programme</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6.4</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Disciplinary process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provide a documented and proportionate response to security violations by personnel, serving both as deterrent and as procedural fairness.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POL-011 Disciplinary Policy</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6.5</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Responsibilities after termination or change of employment</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ensure post-employment obligations regarding confidentiality and intellectual property survive the end of employment, and that operational handover does not introduce security gaps.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PRO-005 §6 Leavers; TPL-EMP-001 §12 Post-employment</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6.6</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Confidentiality or non-disclosure agreements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bind staff, contractors, suppliers and prospects to confidentiality obligations covering customer data, proprietary models and other sensitive information.</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TPL-NDA-001 NDA Templates</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6.7</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Remote working</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because Cloudax operates a fully remote workforce; remote-working controls form the central element of the operating model rather than a supplementary arrangement.</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POL-012 Remote Working Policy</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6.8</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Information security event reporting</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provide all personnel with a clear, low-friction mechanism for reporting suspected security events, recognising that delayed reporting frequently transforms manageable events into incidents.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PRO-027 Event Reporting Procedure</w:t>
            </w:r>
          </w:p>
        </w:tc>
      </w:tr>
      <w:tr>
        <w:trPr/>
        <w:tc>
          <w:tcPr>
            <w:tcW w:w="14569" w:type="dxa"/>
            <w:gridSpan w:val="6"/>
            <w:tcBorders>
              <w:top w:val="single" w:sz="4" w:space="0" w:color="C8CDD4"/>
              <w:start w:val="single" w:sz="4" w:space="0" w:color="C8CDD4"/>
              <w:bottom w:val="single" w:sz="4" w:space="0" w:color="C8CDD4"/>
              <w:end w:val="single" w:sz="4" w:space="0" w:color="C8CDD4"/>
            </w:tcBorders>
            <w:shd w:color="auto" w:fill="0A2540" w:val="clear"/>
            <w:tcMar>
              <w:start w:w="140" w:type="dxa"/>
              <w:end w:w="140" w:type="dxa"/>
            </w:tcMar>
            <w:vAlign w:val="center"/>
          </w:tcPr>
          <w:p>
            <w:pPr>
              <w:pStyle w:val="Normal"/>
              <w:rPr/>
            </w:pPr>
            <w:r>
              <w:rPr>
                <w:rFonts w:eastAsia="Arial" w:cs="Arial"/>
                <w:b/>
                <w:bCs/>
                <w:color w:val="FFFFFF"/>
                <w:sz w:val="22"/>
                <w:szCs w:val="22"/>
              </w:rPr>
              <w:t>A.7  Physical Controls (14)</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7.1</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Physical security perimeters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Cloudax operates no offices or data centres of its own. Physical perimeter security for production infrastructure is inherited from cloud service providers under the shared-responsibility model and verified via their independent audit reports. The London registered office is a virtual address with no Cloudax personnel or assets.</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POL-007 Cloud Services Policy §3 Shared Responsibility; SUP-AWS-SOC2; SUP-AZURE-ISO27001</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7.2</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Physical entry</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Cloudax has no premises with physical entry controls. Physical entry to production infrastructure is governed by cloud service providers' certified access controls, evidenced through their independent audit reports.</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Hyperscaler audit reports (SUP-AWS-SOC2; SUP-AZURE-ISO27001; SUP-GCP-SOC2)</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7.3</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Securing offices, rooms and facilities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Cloudax operates no offices, rooms or facilities of its own. Equivalent controls for production infrastructure are inherited from cloud service providers.</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POL-007 §3 Shared Responsibility</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7.4</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Physical security monitoring</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Inherited from cloud service providers' 24/7 monitored facilities. No Cloudax-operated physical environment requires monitoring beyond home-working environments addressed under control 6.7.</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Hyperscaler audit reports</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7.5</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Protecting against physical and environmental threats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Inherited from cloud service providers (fire suppression, flood protection, seismic resilience, power redundancy). Reasonable-care guidance is provided to personnel for home-working environments.</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Hyperscaler audit reports</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7.6</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Working in secure areas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Cloudax operates no secure physical areas. Logical equivalents — production cloud accounts and source-code repositories — are addressed by access controls under A.5 and A.8.</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POL-007 §3; POL-002 Access Control Policy</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7.7</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Clear desk and clear screen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for remote workers who handle customer voice data in shared and home environments. Auto-lock is enforced through mobile device management; behaviour expectations are documented in the Remote Working Policy.</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POL-012 Remote Working Policy §4; CFG-MDM-001</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7.8</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Equipment siting and protection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Applies to staff laptops in home environments, with guidance provided in the Remote Working Policy. Siting and protection of server equipment is inherited from cloud service providers.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POL-012 §5</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7.9</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Security of assets off-premises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All Cloudax laptops are off-premises by default. Full-disk encryption, mobile device management, endpoint detection and response, and conditional access are applied to all managed devices, with remote-wipe capability in case of loss or theft.</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POL-012 §3; CFG-MDM-001 Endpoint Baseline</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7.10</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Storage media</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Removable media is restricted by policy and technical control. Where used, media must be encrypted and its use logged, with cryptographic erase or destruction at end of life.</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POL-013 Removable Media Policy</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7.11</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Supporting utilities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Inherited from cloud service providers (uninterruptible power, generators, redundant connectivity). Not applicable to home-working environments.</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Hyperscaler audit reports</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7.12</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Cabling security</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Inherited from cloud service providers. Not applicable to Cloudax operations as no corporate network infrastructure is operated.</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Hyperscaler audit reports</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7.13</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Equipment maintenance</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Laptop maintenance is delivered through vendor support and centralised patching via mobile device management. Server equipment maintenance is inherited from cloud service providers.</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PRO-028 Asset Lifecycle Procedure; CFG-MDM-001</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7.14</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Secure disposal or re-use of equipment</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Cloudax laptops are securely wiped using cryptographic erase prior to re-use or disposal, with certificates of destruction retained for end-of-life devices processed by an IT asset disposal partner.</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PRO-028 §5 Disposal; CER-DISP-LOG</w:t>
            </w:r>
          </w:p>
        </w:tc>
      </w:tr>
      <w:tr>
        <w:trPr/>
        <w:tc>
          <w:tcPr>
            <w:tcW w:w="14569" w:type="dxa"/>
            <w:gridSpan w:val="6"/>
            <w:tcBorders>
              <w:top w:val="single" w:sz="4" w:space="0" w:color="C8CDD4"/>
              <w:start w:val="single" w:sz="4" w:space="0" w:color="C8CDD4"/>
              <w:bottom w:val="single" w:sz="4" w:space="0" w:color="C8CDD4"/>
              <w:end w:val="single" w:sz="4" w:space="0" w:color="C8CDD4"/>
            </w:tcBorders>
            <w:shd w:color="auto" w:fill="0A2540" w:val="clear"/>
            <w:tcMar>
              <w:start w:w="140" w:type="dxa"/>
              <w:end w:w="140" w:type="dxa"/>
            </w:tcMar>
            <w:vAlign w:val="center"/>
          </w:tcPr>
          <w:p>
            <w:pPr>
              <w:pStyle w:val="Normal"/>
              <w:rPr/>
            </w:pPr>
            <w:r>
              <w:rPr>
                <w:rFonts w:eastAsia="Arial" w:cs="Arial"/>
                <w:b/>
                <w:bCs/>
                <w:color w:val="FFFFFF"/>
                <w:sz w:val="22"/>
                <w:szCs w:val="22"/>
              </w:rPr>
              <w:t>A.8  Technological Controls (34)</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8.1</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User end point devices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because endpoints are the primary user-facing attack surface in a fully remote operating model. All endpoints are managed and subject to a documented baseline.</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CFG-MDM-001 Endpoint Baseline; CFG-EDR-001</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8.2</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Privileged access rights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control access to high-impact functions (cloud account administration, source code repositories, AI provider consoles, customer data stores), with privileged access subject to additional authentication, logging and review controls.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POL-002 Access Control Policy §6 Privileged Access</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8.3</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access restriction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enforce least-privilege access to information based on business need, role and data classification.</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POL-002 §3 Least Privilege</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8.4</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Access to source code</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because source code embodies both intellectual property and security-relevant logic (validation, authentication, prompt templates), and unauthorised modification or disclosure presents material risk.</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CFG-SCM-001 Source Control Configuration</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8.5</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Secure authentication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mitigate credential-based attacks, with multi-factor authentication mandatory for all accounts and phishing-resistant authentication required for privileged users.</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POL-002 §5; CFG-IDP-001 Conditional Access</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8.6</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Capacity management</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maintain availability and voice-quality service levels, given that Cloudax Connect is latency-sensitive and customer outbound campaigns generate predictable demand spikes.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PRO-029 Capacity Management Procedure</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8.7</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Protection against malware</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at endpoint and cloud workload layers to detect and prevent malware that would compromise customer data or platform integrity.</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CFG-EDR-001; CFG-CWP-001 Cloud Workload Protection</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8.8</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Management of technical vulnerabilities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identify and remediate vulnerabilities in operating systems, libraries, container images, cloud services and AI components within risk-based timeframes.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POL-014 Vulnerability Management Standard</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8.9</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Configuration management</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maintain secure baselines for cloud, endpoint and application configurations through infrastructure-as-code, with detection of drift from approved configurations.</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POL-015 Configuration Management Policy; REPO-IAC</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8.10</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Information deletion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delete customer voice data and transcripts at the end of contractual retention periods or upon valid data-subject erasure requests, with deletion verifiable across primary storage, backups and analytics derivatives.</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POL-009 Records Retention Policy §4 Deletion</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8.11</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Data masking</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protect personal data in non-production environments and analytics outputs, particularly relevant where transcripts may contain payment details, identification numbers and special-category data.</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POL-016 Data Masking Standard</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8.12</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Data leakage prevention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detect and prevent unauthorised exfiltration of customer or organisational data, including through consumer AI services that retain inputs for model training.</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POL-017 Data Leakage Prevention Standard</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8.13</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backup</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enable recovery of customer data, configuration and ISMS records to meet contractual recovery objectives, with restore testing to validate recoverability.</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POL-018 Backup Policy; PRO-030 Restore Test Procedure</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8.14</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Redundancy of information processing facilities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because Cloudax Connect supports customers' 24/7 contact-centre operations; redundant deployment is implemented at availability-zone and region level for tier-1 services.</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PLAN-DRP-001 §3 Architecture</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8.15</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Logging</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enable detection of and investigation into security events affecting cloud, application and identity layers, with retention sufficient to meet contractual and forensic requirements.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POL-019 Logging Standard</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8.16</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Monitoring activities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provide continuous monitoring of cloud, application and identity activity for indicators of compromise, with detection rules tuned to relevant threats including AI-specific attack patterns.</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POL-020 Monitoring Standard; CFG-SIEM-001</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8.17</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Clock synchronisation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ensure log records across cloud accounts and application components share a consistent time reference for correlation and forensic analysis.</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CFG-NTP-001</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8.18</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Use of privileged utility programs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control administrative tooling on endpoints and in cloud environments, with use restricted to authorised personnel and recorded in audit logs.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POL-002 §6; CFG-MDM-001</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8.19</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Installation of software on operational systems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control what software runs on endpoints and production systems, through application allow-listing and signed-image deployment pipelines.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POL-021 Software Installation Policy; CFG-MDM-001</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8.20</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Networks security</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protect cloud network segments through defence-in-depth controls (segmentation, security groups, web application firewall, egress filtering).</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POL-022 Network Security Standard; REPO-IAC</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8.21</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Security of network services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ensure network services obtained from cloud service providers, internet service providers and telephony partners meet security requirements documented in supplier agreements.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POL-022 §6 Network Services</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8.22</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Segregation of networks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isolate production, non-production and corporate environments from one another, with cross-environment access paths controlled and monitored.</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POL-022 §4 Segregation</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8.23</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Web filtering</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protect personnel from access to malicious web content and to enforce policy on the use of consumer AI services that may exfiltrate inputs.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POL-022 §7; CFG-WEB-001</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8.24</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Use of cryptography</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protect customer voice data and other sensitive information in transit and at rest, with cryptographic keys managed under documented controls.</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POL-023 Cryptographic Controls Policy</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8.25</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Secure development life cycle</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because Cloudax develops the Cloudax Connect platform in-house; the secure development lifecycle integrates security into design, implementation, testing and deployment.</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POL-024 Secure Development Lifecycle</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8.26</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Application security requirements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elicit and document security requirements for each release, including AI-specific requirements addressing prompt injection, output filtering and model access controls.</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POL-024 §3 Security Requirements</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8.27</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Secure system architecture and engineering principles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because in-house development of the platform demands consistent application of secure-by-design principles (least privilege, fail-secure, defence in depth) across architectural decisions.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POL-024 §4 Architecture Principles</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8.28</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Secure coding</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because customer-facing AI services are developed in-house, with secure-coding standards, static analysis and peer review applied to mitigate common vulnerability classes.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POL-024 §5 Secure Coding Standard</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8.29</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Security testing in development and acceptance</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assure the security of releases prior to deployment through automated testing in pipelines and periodic independent penetration testing of the platform.</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POL-024 §6 Security Testing</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8.30</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Outsourced development</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where Cloudax engages contractors or specialist agencies; outsourced development is subject to the same security obligations as in-house development, with deliverables reviewed before integration.</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POL-006 §8 Outsourced Development; POL-024 §7</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8.31</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Separation of development, test and production environments</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prevent unintended changes from reaching production and to protect production data from exposure in lower environments.</w:t>
            </w:r>
          </w:p>
        </w:tc>
        <w:tc>
          <w:tcPr>
            <w:tcW w:w="1700" w:type="dxa"/>
            <w:tcBorders>
              <w:top w:val="single" w:sz="4" w:space="0" w:color="C8CDD4"/>
              <w:start w:val="single" w:sz="4" w:space="0" w:color="C8CDD4"/>
              <w:bottom w:val="single" w:sz="4" w:space="0" w:color="C8CDD4"/>
              <w:end w:val="single" w:sz="4" w:space="0" w:color="C8CDD4"/>
            </w:tcBorders>
            <w:shd w:color="auto" w:fill="10B981"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POL-022 §4; POL-024 §8 Environment Separation</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8.32</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Change management</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manage risk arising from changes to the platform, infrastructure and configuration through documented review, approval and rollback procedures.</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POL-025 Change Management Policy</w:t>
            </w:r>
          </w:p>
        </w:tc>
      </w:tr>
      <w:tr>
        <w:trPr/>
        <w:tc>
          <w:tcPr>
            <w:tcW w:w="799"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center"/>
              <w:rPr/>
            </w:pPr>
            <w:r>
              <w:rPr>
                <w:rFonts w:eastAsia="Arial" w:cs="Arial"/>
                <w:b/>
                <w:bCs/>
                <w:color w:val="1F2937"/>
                <w:sz w:val="17"/>
                <w:szCs w:val="17"/>
              </w:rPr>
              <w:t>8.33</w:t>
            </w:r>
          </w:p>
        </w:tc>
        <w:tc>
          <w:tcPr>
            <w:tcW w:w="24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Test information</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Required to prevent customer personal data from being used in test environments without appropriate masking or substitution with synthetic data.</w:t>
            </w:r>
          </w:p>
        </w:tc>
        <w:tc>
          <w:tcPr>
            <w:tcW w:w="1700" w:type="dxa"/>
            <w:tcBorders>
              <w:top w:val="single" w:sz="4" w:space="0" w:color="C8CDD4"/>
              <w:start w:val="single" w:sz="4" w:space="0" w:color="C8CDD4"/>
              <w:bottom w:val="single" w:sz="4" w:space="0" w:color="C8CDD4"/>
              <w:end w:val="single" w:sz="4" w:space="0" w:color="C8CDD4"/>
            </w:tcBorders>
            <w:shd w:color="auto" w:fill="F59E0B"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Partially Implemented</w:t>
            </w:r>
          </w:p>
        </w:tc>
        <w:tc>
          <w:tcPr>
            <w:tcW w:w="257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6"/>
                <w:szCs w:val="16"/>
              </w:rPr>
              <w:t>POL-024 §9 Test Data</w:t>
            </w:r>
          </w:p>
        </w:tc>
      </w:tr>
      <w:tr>
        <w:trPr/>
        <w:tc>
          <w:tcPr>
            <w:tcW w:w="799"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center"/>
              <w:rPr/>
            </w:pPr>
            <w:r>
              <w:rPr>
                <w:rFonts w:eastAsia="Arial" w:cs="Arial"/>
                <w:b/>
                <w:bCs/>
                <w:color w:val="1F2937"/>
                <w:sz w:val="17"/>
                <w:szCs w:val="17"/>
              </w:rPr>
              <w:t>8.34</w:t>
            </w:r>
          </w:p>
        </w:tc>
        <w:tc>
          <w:tcPr>
            <w:tcW w:w="24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Protection of information systems during audit testing</w:t>
            </w:r>
          </w:p>
        </w:tc>
        <w:tc>
          <w:tcPr>
            <w:tcW w:w="800" w:type="dxa"/>
            <w:tcBorders>
              <w:top w:val="single" w:sz="4" w:space="0" w:color="C8CDD4"/>
              <w:start w:val="single" w:sz="4" w:space="0" w:color="C8CDD4"/>
              <w:bottom w:val="single" w:sz="4" w:space="0" w:color="C8CDD4"/>
              <w:end w:val="single" w:sz="4" w:space="0" w:color="C8CDD4"/>
            </w:tcBorders>
            <w:shd w:color="auto" w:fill="DCFCE7" w:val="clear"/>
            <w:tcMar>
              <w:top w:w="80" w:type="dxa"/>
              <w:bottom w:w="80" w:type="dxa"/>
            </w:tcMar>
          </w:tcPr>
          <w:p>
            <w:pPr>
              <w:pStyle w:val="Normal"/>
              <w:spacing w:before="0" w:after="0"/>
              <w:jc w:val="center"/>
              <w:rPr/>
            </w:pPr>
            <w:r>
              <w:rPr>
                <w:rFonts w:eastAsia="Arial" w:cs="Arial"/>
                <w:b/>
                <w:bCs/>
                <w:color w:val="166534"/>
                <w:sz w:val="17"/>
                <w:szCs w:val="17"/>
              </w:rPr>
              <w:t>Y</w:t>
            </w:r>
          </w:p>
        </w:tc>
        <w:tc>
          <w:tcPr>
            <w:tcW w:w="63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Required to ensure that audit and penetration-testing activities are conducted under documented rules of engagement that protect platform availability and customer data.</w:t>
            </w:r>
          </w:p>
        </w:tc>
        <w:tc>
          <w:tcPr>
            <w:tcW w:w="1700" w:type="dxa"/>
            <w:tcBorders>
              <w:top w:val="single" w:sz="4" w:space="0" w:color="C8CDD4"/>
              <w:start w:val="single" w:sz="4" w:space="0" w:color="C8CDD4"/>
              <w:bottom w:val="single" w:sz="4" w:space="0" w:color="C8CDD4"/>
              <w:end w:val="single" w:sz="4" w:space="0" w:color="C8CDD4"/>
            </w:tcBorders>
            <w:shd w:color="auto" w:fill="6B7280" w:val="clear"/>
            <w:tcMar>
              <w:top w:w="80" w:type="dxa"/>
              <w:start w:w="60" w:type="dxa"/>
              <w:bottom w:w="80" w:type="dxa"/>
              <w:end w:w="60" w:type="dxa"/>
            </w:tcMar>
            <w:vAlign w:val="center"/>
          </w:tcPr>
          <w:p>
            <w:pPr>
              <w:pStyle w:val="Normal"/>
              <w:jc w:val="center"/>
              <w:rPr/>
            </w:pPr>
            <w:r>
              <w:rPr>
                <w:rFonts w:eastAsia="Arial" w:cs="Arial"/>
                <w:b/>
                <w:bCs/>
                <w:color w:val="FFFFFF"/>
                <w:sz w:val="15"/>
                <w:szCs w:val="15"/>
              </w:rPr>
              <w:t>Planned</w:t>
            </w:r>
          </w:p>
        </w:tc>
        <w:tc>
          <w:tcPr>
            <w:tcW w:w="257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6"/>
                <w:szCs w:val="16"/>
              </w:rPr>
              <w:t>PRO-031 Audit Test Procedure</w:t>
            </w:r>
          </w:p>
        </w:tc>
      </w:tr>
    </w:tbl>
    <w:p>
      <w:pPr>
        <w:sectPr>
          <w:headerReference w:type="default" r:id="rId8"/>
          <w:headerReference w:type="first" r:id="rId9"/>
          <w:footerReference w:type="default" r:id="rId10"/>
          <w:footerReference w:type="first" r:id="rId11"/>
          <w:type w:val="nextPage"/>
          <w:pgSz w:orient="landscape" w:w="16838" w:h="11906"/>
          <w:pgMar w:left="1134" w:right="1134" w:gutter="0" w:header="720" w:top="1440" w:footer="720" w:bottom="1440"/>
          <w:pgNumType w:fmt="decimal"/>
          <w:formProt w:val="false"/>
          <w:textDirection w:val="lrTb"/>
          <w:docGrid w:type="default" w:linePitch="360" w:charSpace="8192"/>
        </w:sectPr>
      </w:pPr>
    </w:p>
    <w:p>
      <w:pPr>
        <w:pStyle w:val="Heading1"/>
        <w:spacing w:before="360" w:after="200"/>
        <w:rPr/>
      </w:pPr>
      <w:r>
        <w:rPr>
          <w:rFonts w:eastAsia="Arial" w:cs="Arial" w:ascii="Arial" w:hAnsi="Arial"/>
          <w:b/>
          <w:bCs/>
          <w:color w:val="0A2540"/>
          <w:sz w:val="32"/>
          <w:szCs w:val="32"/>
        </w:rPr>
        <w:t>Annex A.  Referenced Documents</w:t>
      </w:r>
    </w:p>
    <w:p>
      <w:pPr>
        <w:pStyle w:val="Normal"/>
        <w:spacing w:before="0" w:after="120"/>
        <w:jc w:val="start"/>
        <w:rPr/>
      </w:pPr>
      <w:r>
        <w:rPr>
          <w:rFonts w:eastAsia="Arial" w:cs="Arial"/>
          <w:b w:val="false"/>
          <w:bCs w:val="false"/>
          <w:i w:val="false"/>
          <w:iCs w:val="false"/>
          <w:color w:val="1F2937"/>
          <w:sz w:val="20"/>
          <w:szCs w:val="20"/>
        </w:rPr>
        <w:t>This annex lists the ISMS documents referenced in the Document Reference column of the Statement of Applicability table at section 7. Documents are maintained under the ISMS document-control process, with the latest approved version controlling. References are illustrative of the planned ISMS document library; documents marked as referenced may not yet exist in approved form where the corresponding control is recorded as Planned at section 7.</w:t>
      </w:r>
    </w:p>
    <w:p>
      <w:pPr>
        <w:pStyle w:val="Normal"/>
        <w:spacing w:before="0" w:after="80"/>
        <w:rPr/>
      </w:pPr>
      <w:r>
        <w:rPr/>
      </w:r>
    </w:p>
    <w:tbl>
      <w:tblPr>
        <w:tblW w:w="9638" w:type="dxa"/>
        <w:jc w:val="start"/>
        <w:tblInd w:w="0" w:type="dxa"/>
        <w:tblLayout w:type="fixed"/>
        <w:tblCellMar>
          <w:top w:w="100" w:type="dxa"/>
          <w:start w:w="120" w:type="dxa"/>
          <w:bottom w:w="100" w:type="dxa"/>
          <w:end w:w="120" w:type="dxa"/>
        </w:tblCellMar>
      </w:tblPr>
      <w:tblGrid>
        <w:gridCol w:w="2200"/>
        <w:gridCol w:w="4500"/>
        <w:gridCol w:w="1500"/>
        <w:gridCol w:w="1437"/>
      </w:tblGrid>
      <w:tr>
        <w:trPr>
          <w:tblHeader w:val="true"/>
        </w:trPr>
        <w:tc>
          <w:tcPr>
            <w:tcW w:w="2200"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Reference</w:t>
            </w:r>
          </w:p>
        </w:tc>
        <w:tc>
          <w:tcPr>
            <w:tcW w:w="4500"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Document Title</w:t>
            </w:r>
          </w:p>
        </w:tc>
        <w:tc>
          <w:tcPr>
            <w:tcW w:w="1500"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Type</w:t>
            </w:r>
          </w:p>
        </w:tc>
        <w:tc>
          <w:tcPr>
            <w:tcW w:w="1437" w:type="dxa"/>
            <w:tcBorders>
              <w:top w:val="single" w:sz="4" w:space="0" w:color="C8CDD4"/>
              <w:start w:val="single" w:sz="4" w:space="0" w:color="C8CDD4"/>
              <w:bottom w:val="single" w:sz="4" w:space="0" w:color="C8CDD4"/>
              <w:end w:val="single" w:sz="4" w:space="0" w:color="C8CDD4"/>
            </w:tcBorders>
            <w:shd w:color="auto" w:fill="0A2540" w:val="clear"/>
            <w:vAlign w:val="center"/>
          </w:tcPr>
          <w:p>
            <w:pPr>
              <w:pStyle w:val="Normal"/>
              <w:jc w:val="start"/>
              <w:rPr/>
            </w:pPr>
            <w:r>
              <w:rPr>
                <w:rFonts w:eastAsia="Arial" w:cs="Arial"/>
                <w:b/>
                <w:bCs/>
                <w:color w:val="FFFFFF"/>
                <w:sz w:val="18"/>
                <w:szCs w:val="18"/>
              </w:rPr>
              <w:t>Owner</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POL-001</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Security Policy</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POL-002</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Access Control Policy</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POL-003</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Acceptable Use Policy</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POL-004</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Information Classification Policy</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POL-005</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Transfer Policy</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POL-006</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Supplier Security Policy</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POL-007</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Cloud Services Policy</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POL-008</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Intellectual Property and Software Licence Policy</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Legal</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POL-009</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Records Retention Policy</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DPO</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POL-010</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Privacy Policy</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DPO</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POL-011</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Disciplinary Policy</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HR</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POL-012</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Remote Working Policy</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POL-013</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Removable Media Policy</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POL-014</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Vulnerability Management Standard</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Standard</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POL-015</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Configuration Management Policy</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POL-016</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Data Masking Standard</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Standard</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POL-017</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Data Leakage Prevention Standard</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Standard</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POL-018</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Backup Policy</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POL-019</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Logging Standard</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Standard</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POL-020</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Monitoring Standard</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Standard</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POL-021</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Software Installation Policy</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POL-022</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Network Security Standard</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Standard</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POL-023</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Cryptographic Controls Policy</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POL-024</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Secure Development Lifecycle</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Standard</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POL-025</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Change Management Policy</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Policy</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PLAN-IRP-001</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Incident Response Plan</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Plan</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PLAN-BCP-001</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Business Continuity Plan</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Plan</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PLAN-DRP-001</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Disaster Recovery Plan</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Plan</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PRO-002</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Personnel Screening Procedure</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HR</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PRO-005</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Joiner Mover Leaver Procedure</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HR</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PRO-008</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Project Security Procedure</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PRO-017</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Secrets Management Procedure</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PRO-021</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Software Supply Chain Procedure</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PRO-022</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Supplier Monitoring Procedure</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PRO-024</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Breach Notification Procedure</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DPO</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PRO-025</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Threat Intelligence Procedure</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PRO-026</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Forensic Readiness Procedure</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PRO-027</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Event Reporting Procedure</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PRO-028</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Asset Lifecycle Procedure</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PRO-029</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Capacity Management Procedure</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PRO-030</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Restore Test Procedure</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PRO-031</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Audit Test Procedure</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Procedure</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REG-IAR-001</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Information Asset Register</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Register</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CTO</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REG-COMP-001</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Compliance Obligations Register</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Register</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DPO</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REG-ROPA-001</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Record of Processing Activities</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Register</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DPO</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REG-DPIA-001</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DPIA Register</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Register</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DPO</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REG-RISK-001</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Risk Register</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Register</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REG-AUTH-001</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Authority Contact Register</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Register</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DPO</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PROG-AUDIT-001</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Internal Audit Programme</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Programme</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bCs/>
                <w:color w:val="1F2937"/>
                <w:sz w:val="17"/>
                <w:szCs w:val="17"/>
              </w:rPr>
              <w:t>PROG-COMP-001</w:t>
            </w:r>
          </w:p>
        </w:tc>
        <w:tc>
          <w:tcPr>
            <w:tcW w:w="4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Compliance Monitoring Schedule</w:t>
            </w:r>
          </w:p>
        </w:tc>
        <w:tc>
          <w:tcPr>
            <w:tcW w:w="1500"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Programme</w:t>
            </w:r>
          </w:p>
        </w:tc>
        <w:tc>
          <w:tcPr>
            <w:tcW w:w="1437" w:type="dxa"/>
            <w:tcBorders>
              <w:top w:val="single" w:sz="4" w:space="0" w:color="C8CDD4"/>
              <w:start w:val="single" w:sz="4" w:space="0" w:color="C8CDD4"/>
              <w:bottom w:val="single" w:sz="4" w:space="0" w:color="C8CDD4"/>
              <w:end w:val="single" w:sz="4" w:space="0" w:color="C8CDD4"/>
            </w:tcBorders>
            <w:shd w:color="auto" w:fill="F4F6F9" w:val="clear"/>
            <w:tcMar>
              <w:top w:w="80" w:type="dxa"/>
              <w:bottom w:w="80" w:type="dxa"/>
            </w:tcMar>
          </w:tcPr>
          <w:p>
            <w:pPr>
              <w:pStyle w:val="Normal"/>
              <w:spacing w:before="0" w:after="0"/>
              <w:jc w:val="start"/>
              <w:rPr/>
            </w:pPr>
            <w:r>
              <w:rPr>
                <w:rFonts w:eastAsia="Arial" w:cs="Arial"/>
                <w:b w:val="false"/>
                <w:bCs w:val="false"/>
                <w:color w:val="1F2937"/>
                <w:sz w:val="17"/>
                <w:szCs w:val="17"/>
              </w:rPr>
              <w:t>ISM</w:t>
            </w:r>
          </w:p>
        </w:tc>
      </w:tr>
      <w:tr>
        <w:trPr/>
        <w:tc>
          <w:tcPr>
            <w:tcW w:w="22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bCs/>
                <w:color w:val="1F2937"/>
                <w:sz w:val="17"/>
                <w:szCs w:val="17"/>
              </w:rPr>
              <w:t>PROG-TRAIN-001</w:t>
            </w:r>
          </w:p>
        </w:tc>
        <w:tc>
          <w:tcPr>
            <w:tcW w:w="4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Awareness Training Programme</w:t>
            </w:r>
          </w:p>
        </w:tc>
        <w:tc>
          <w:tcPr>
            <w:tcW w:w="1500"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Programme</w:t>
            </w:r>
          </w:p>
        </w:tc>
        <w:tc>
          <w:tcPr>
            <w:tcW w:w="1437" w:type="dxa"/>
            <w:tcBorders>
              <w:top w:val="single" w:sz="4" w:space="0" w:color="C8CDD4"/>
              <w:start w:val="single" w:sz="4" w:space="0" w:color="C8CDD4"/>
              <w:bottom w:val="single" w:sz="4" w:space="0" w:color="C8CDD4"/>
              <w:end w:val="single" w:sz="4" w:space="0" w:color="C8CDD4"/>
            </w:tcBorders>
            <w:tcMar>
              <w:top w:w="80" w:type="dxa"/>
              <w:bottom w:w="80" w:type="dxa"/>
            </w:tcMar>
          </w:tcPr>
          <w:p>
            <w:pPr>
              <w:pStyle w:val="Normal"/>
              <w:spacing w:before="0" w:after="0"/>
              <w:jc w:val="start"/>
              <w:rPr/>
            </w:pPr>
            <w:r>
              <w:rPr>
                <w:rFonts w:eastAsia="Arial" w:cs="Arial"/>
                <w:b w:val="false"/>
                <w:bCs w:val="false"/>
                <w:color w:val="1F2937"/>
                <w:sz w:val="17"/>
                <w:szCs w:val="17"/>
              </w:rPr>
              <w:t>ISM</w:t>
            </w:r>
          </w:p>
        </w:tc>
      </w:tr>
    </w:tbl>
    <w:p>
      <w:pPr>
        <w:pStyle w:val="Normal"/>
        <w:rPr/>
      </w:pPr>
      <w:r>
        <w:rPr/>
      </w:r>
      <w:r>
        <w:br w:type="page"/>
      </w:r>
    </w:p>
    <w:p>
      <w:pPr>
        <w:pStyle w:val="Heading1"/>
        <w:spacing w:before="0" w:after="200"/>
        <w:rPr/>
      </w:pPr>
      <w:r>
        <w:rPr>
          <w:rFonts w:eastAsia="Arial" w:cs="Arial" w:ascii="Arial" w:hAnsi="Arial"/>
          <w:b/>
          <w:bCs/>
          <w:color w:val="0A2540"/>
          <w:sz w:val="32"/>
          <w:szCs w:val="32"/>
        </w:rPr>
        <w:t>Annex B.  Risk Register Cross-Reference</w:t>
      </w:r>
    </w:p>
    <w:p>
      <w:pPr>
        <w:pStyle w:val="Normal"/>
        <w:spacing w:before="0" w:after="120"/>
        <w:jc w:val="start"/>
        <w:rPr/>
      </w:pPr>
      <w:r>
        <w:rPr>
          <w:rFonts w:eastAsia="Arial" w:cs="Arial"/>
          <w:b w:val="false"/>
          <w:bCs w:val="false"/>
          <w:i w:val="false"/>
          <w:iCs w:val="false"/>
          <w:color w:val="1F2937"/>
          <w:sz w:val="20"/>
          <w:szCs w:val="20"/>
        </w:rPr>
        <w:t>The Risk Register (REG-RISK-001) maintains the bidirectional linkage between identified risks and the Annex A controls applied as treatment. The cross-reference is held in REG-RISK-001 rather than duplicated in this Statement of Applicability, to ensure a single authoritative source of risk-to-control linkage.</w:t>
      </w:r>
    </w:p>
    <w:p>
      <w:pPr>
        <w:pStyle w:val="Normal"/>
        <w:spacing w:before="0" w:after="120"/>
        <w:jc w:val="start"/>
        <w:rPr/>
      </w:pPr>
      <w:r>
        <w:rPr>
          <w:rFonts w:eastAsia="Arial" w:cs="Arial"/>
          <w:b w:val="false"/>
          <w:bCs w:val="false"/>
          <w:i w:val="false"/>
          <w:iCs w:val="false"/>
          <w:color w:val="1F2937"/>
          <w:sz w:val="20"/>
          <w:szCs w:val="20"/>
        </w:rPr>
        <w:t>The linkage is reviewed in conjunction with this Statement of Applicability under the maintenance cycle described at section 5.5 and is verified during internal audits conducted under PROG-AUDIT-001.</w:t>
      </w:r>
    </w:p>
    <w:p>
      <w:pPr>
        <w:pStyle w:val="Normal"/>
        <w:spacing w:before="0" w:after="120"/>
        <w:rPr/>
      </w:pPr>
      <w:r>
        <w:rPr/>
      </w:r>
    </w:p>
    <w:p>
      <w:pPr>
        <w:pStyle w:val="Normal"/>
        <w:spacing w:before="0" w:after="120"/>
        <w:jc w:val="start"/>
        <w:rPr/>
      </w:pPr>
      <w:r>
        <w:rPr>
          <w:rFonts w:eastAsia="Arial" w:cs="Arial"/>
          <w:b w:val="false"/>
          <w:bCs w:val="false"/>
          <w:i/>
          <w:iCs/>
          <w:color w:val="5B6573"/>
          <w:sz w:val="20"/>
          <w:szCs w:val="20"/>
        </w:rPr>
        <w:t>[End of document.]</w:t>
      </w:r>
    </w:p>
    <w:sectPr>
      <w:headerReference w:type="default" r:id="rId12"/>
      <w:headerReference w:type="first" r:id="rId13"/>
      <w:footerReference w:type="default" r:id="rId14"/>
      <w:footerReference w:type="first" r:id="rId15"/>
      <w:type w:val="nextPage"/>
      <w:pgSz w:w="11906" w:h="16838"/>
      <w:pgMar w:left="1134" w:right="1134" w:gutter="0" w:header="720" w:top="144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B6573"/>
        <w:sz w:val="16"/>
        <w:szCs w:val="16"/>
      </w:rPr>
      <w:t xml:space="preserve">Page </w:t>
    </w:r>
    <w:r>
      <w:rPr/>
      <w:fldChar w:fldCharType="begin"/>
    </w:r>
    <w:r>
      <w:rPr/>
      <w:instrText xml:space="preserve"> PAGE </w:instrText>
    </w:r>
    <w:r>
      <w:rPr/>
      <w:fldChar w:fldCharType="separate"/>
    </w:r>
    <w:r>
      <w:rPr/>
      <w:t>5</w:t>
    </w:r>
    <w:r>
      <w:rPr/>
      <w:fldChar w:fldCharType="end"/>
    </w:r>
    <w:r>
      <w:rPr>
        <w:rFonts w:eastAsia="Arial" w:cs="Arial"/>
        <w:color w:val="5B6573"/>
        <w:sz w:val="16"/>
        <w:szCs w:val="16"/>
      </w:rPr>
      <w:t xml:space="preserve"> of </w:t>
    </w:r>
    <w:r>
      <w:rPr/>
      <w:fldChar w:fldCharType="begin"/>
    </w:r>
    <w:r>
      <w:rPr/>
      <w:instrText xml:space="preserve"> NUMPAGES </w:instrText>
    </w:r>
    <w:r>
      <w:rPr/>
      <w:fldChar w:fldCharType="separate"/>
    </w:r>
    <w:r>
      <w:rPr/>
      <w:t>17</w:t>
    </w:r>
    <w:r>
      <w:rPr/>
      <w:fldChar w:fldCharType="end"/>
    </w:r>
    <w:r>
      <w:rPr>
        <w:rFonts w:eastAsia="Arial" w:cs="Arial"/>
        <w:color w:val="5B6573"/>
        <w:sz w:val="16"/>
        <w:szCs w:val="16"/>
      </w:rPr>
      <w:t xml:space="preserve">    •    Classification: Internal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B6573"/>
        <w:sz w:val="16"/>
        <w:szCs w:val="16"/>
      </w:rPr>
      <w:t xml:space="preserve">Page </w:t>
    </w:r>
    <w:r>
      <w:rPr/>
      <w:fldChar w:fldCharType="begin"/>
    </w:r>
    <w:r>
      <w:rPr/>
      <w:instrText xml:space="preserve"> PAGE </w:instrText>
    </w:r>
    <w:r>
      <w:rPr/>
      <w:fldChar w:fldCharType="separate"/>
    </w:r>
    <w:r>
      <w:rPr/>
      <w:t>14</w:t>
    </w:r>
    <w:r>
      <w:rPr/>
      <w:fldChar w:fldCharType="end"/>
    </w:r>
    <w:r>
      <w:rPr>
        <w:rFonts w:eastAsia="Arial" w:cs="Arial"/>
        <w:color w:val="5B6573"/>
        <w:sz w:val="16"/>
        <w:szCs w:val="16"/>
      </w:rPr>
      <w:t xml:space="preserve"> of </w:t>
    </w:r>
    <w:r>
      <w:rPr/>
      <w:fldChar w:fldCharType="begin"/>
    </w:r>
    <w:r>
      <w:rPr/>
      <w:instrText xml:space="preserve"> NUMPAGES </w:instrText>
    </w:r>
    <w:r>
      <w:rPr/>
      <w:fldChar w:fldCharType="separate"/>
    </w:r>
    <w:r>
      <w:rPr/>
      <w:t>17</w:t>
    </w:r>
    <w:r>
      <w:rPr/>
      <w:fldChar w:fldCharType="end"/>
    </w:r>
    <w:r>
      <w:rPr>
        <w:rFonts w:eastAsia="Arial" w:cs="Arial"/>
        <w:color w:val="5B6573"/>
        <w:sz w:val="16"/>
        <w:szCs w:val="16"/>
      </w:rPr>
      <w:t xml:space="preserve">    •    Classification: Internal</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B6573"/>
        <w:sz w:val="16"/>
        <w:szCs w:val="16"/>
      </w:rPr>
      <w:t xml:space="preserve">Page </w:t>
    </w:r>
    <w:r>
      <w:rPr/>
      <w:fldChar w:fldCharType="begin"/>
    </w:r>
    <w:r>
      <w:rPr/>
      <w:instrText xml:space="preserve"> PAGE </w:instrText>
    </w:r>
    <w:r>
      <w:rPr/>
      <w:fldChar w:fldCharType="separate"/>
    </w:r>
    <w:r>
      <w:rPr/>
      <w:t>17</w:t>
    </w:r>
    <w:r>
      <w:rPr/>
      <w:fldChar w:fldCharType="end"/>
    </w:r>
    <w:r>
      <w:rPr>
        <w:rFonts w:eastAsia="Arial" w:cs="Arial"/>
        <w:color w:val="5B6573"/>
        <w:sz w:val="16"/>
        <w:szCs w:val="16"/>
      </w:rPr>
      <w:t xml:space="preserve"> of </w:t>
    </w:r>
    <w:r>
      <w:rPr/>
      <w:fldChar w:fldCharType="begin"/>
    </w:r>
    <w:r>
      <w:rPr/>
      <w:instrText xml:space="preserve"> NUMPAGES </w:instrText>
    </w:r>
    <w:r>
      <w:rPr/>
      <w:fldChar w:fldCharType="separate"/>
    </w:r>
    <w:r>
      <w:rPr/>
      <w:t>17</w:t>
    </w:r>
    <w:r>
      <w:rPr/>
      <w:fldChar w:fldCharType="end"/>
    </w:r>
    <w:r>
      <w:rPr>
        <w:rFonts w:eastAsia="Arial" w:cs="Arial"/>
        <w:color w:val="5B6573"/>
        <w:sz w:val="16"/>
        <w:szCs w:val="16"/>
      </w:rPr>
      <w:t xml:space="preserve">    •    Classification: Internal</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A2540"/>
      </w:pBdr>
      <w:tabs>
        <w:tab w:val="clear" w:pos="720"/>
        <w:tab w:val="right" w:pos="9360" w:leader="none"/>
      </w:tabs>
      <w:rPr/>
    </w:pPr>
    <w:r>
      <w:rPr>
        <w:rFonts w:eastAsia="Arial" w:cs="Arial"/>
        <w:color w:val="5B6573"/>
        <w:sz w:val="16"/>
        <w:szCs w:val="16"/>
      </w:rPr>
      <w:t>Cloudax Ltd  •  ISMS-SOA-001</w:t>
      <w:tab/>
      <w:t>Version 4.0  •  28 April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A2540"/>
      </w:pBdr>
      <w:tabs>
        <w:tab w:val="clear" w:pos="720"/>
        <w:tab w:val="right" w:pos="14570" w:leader="none"/>
      </w:tabs>
      <w:rPr/>
    </w:pPr>
    <w:r>
      <w:rPr>
        <w:rFonts w:eastAsia="Arial" w:cs="Arial"/>
        <w:color w:val="5B6573"/>
        <w:sz w:val="16"/>
        <w:szCs w:val="16"/>
      </w:rPr>
      <w:t>Cloudax Ltd  •  ISMS-SOA-001  •  Statement of Applicability</w:t>
      <w:tab/>
      <w:t>Version 4.0  •  28 April 2026</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A2540"/>
      </w:pBdr>
      <w:tabs>
        <w:tab w:val="clear" w:pos="720"/>
        <w:tab w:val="right" w:pos="9360" w:leader="none"/>
      </w:tabs>
      <w:rPr/>
    </w:pPr>
    <w:r>
      <w:rPr>
        <w:rFonts w:eastAsia="Arial" w:cs="Arial"/>
        <w:color w:val="5B6573"/>
        <w:sz w:val="16"/>
        <w:szCs w:val="16"/>
      </w:rPr>
      <w:t>Cloudax Ltd  •  ISMS-SOA-001</w:t>
      <w:tab/>
      <w:t>Version 4.0  •  28 April 2026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spacing w:before="360" w:after="200"/>
      <w:outlineLvl w:val="0"/>
    </w:pPr>
    <w:rPr>
      <w:rFonts w:ascii="Arial" w:hAnsi="Arial" w:eastAsia="Arial" w:cs="Arial"/>
      <w:b/>
      <w:bCs/>
      <w:color w:val="0A2540"/>
      <w:sz w:val="32"/>
      <w:szCs w:val="32"/>
    </w:rPr>
  </w:style>
  <w:style w:type="paragraph" w:styleId="Heading2">
    <w:name w:val="Heading 2"/>
    <w:basedOn w:val="Heading"/>
    <w:qFormat/>
    <w:pPr>
      <w:spacing w:before="280" w:after="160"/>
      <w:outlineLvl w:val="1"/>
    </w:pPr>
    <w:rPr>
      <w:rFonts w:ascii="Arial" w:hAnsi="Arial" w:eastAsia="Arial" w:cs="Arial"/>
      <w:b/>
      <w:bCs/>
      <w:color w:val="0A2540"/>
      <w:sz w:val="26"/>
      <w:szCs w:val="26"/>
    </w:rPr>
  </w:style>
  <w:style w:type="paragraph" w:styleId="Heading3">
    <w:name w:val="Heading 3"/>
    <w:basedOn w:val="Heading"/>
    <w:qFormat/>
    <w:pPr>
      <w:spacing w:before="200" w:after="120"/>
      <w:outlineLvl w:val="2"/>
    </w:pPr>
    <w:rPr>
      <w:rFonts w:ascii="Arial" w:hAnsi="Arial" w:eastAsia="Arial" w:cs="Arial"/>
      <w:b/>
      <w:bCs/>
      <w:color w:val="1E3A5F"/>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2026-04-27T12:35:35Z</dcterms:created>
  <dc:creator>David Stokes</dc:creator>
  <dc:description/>
  <dc:language>en-US</dc:language>
  <cp:lastModifiedBy>David Stokes</cp:lastModifiedBy>
  <dcterms:modified xsi:type="dcterms:W3CDTF">2026-04-27T13:26:35Z</dcterms:modified>
  <cp:revision>1</cp:revision>
  <dc:subject/>
  <dc:title>Statement of Applicability — ISMS-SOA-001 v4.0</dc:title>
</cp:coreProperties>
</file>