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026" w:type="dxa"/>
        <w:jc w:val="start"/>
        <w:tblInd w:w="0" w:type="dxa"/>
        <w:tblLayout w:type="fixed"/>
        <w:tblCellMar>
          <w:top w:w="700" w:type="dxa"/>
          <w:start w:w="600" w:type="dxa"/>
          <w:bottom w:w="700" w:type="dxa"/>
          <w:end w:w="600" w:type="dxa"/>
        </w:tblCellMar>
      </w:tblPr>
      <w:tblGrid>
        <w:gridCol w:w="9026"/>
      </w:tblGrid>
      <w:tr>
        <w:trPr>
          <w:trHeight w:val="3800" w:hRule="atLeast"/>
        </w:trPr>
        <w:tc>
          <w:tcPr>
            <w:tcW w:w="9026" w:type="dxa"/>
            <w:tcBorders/>
            <w:shd w:fill="0000FF" w:val="clear"/>
          </w:tcPr>
          <w:p>
            <w:pPr>
              <w:pStyle w:val="Normal"/>
              <w:spacing w:before="0" w:after="300"/>
              <w:jc w:val="center"/>
              <w:rPr/>
            </w:pPr>
            <w:r>
              <w:rPr/>
              <w:drawing>
                <wp:inline distT="0" distB="0" distL="0" distR="0">
                  <wp:extent cx="1428750" cy="1085850"/>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428750" cy="1085850"/>
                          </a:xfrm>
                          <a:prstGeom prst="rect">
                            <a:avLst/>
                          </a:prstGeom>
                        </pic:spPr>
                      </pic:pic>
                    </a:graphicData>
                  </a:graphic>
                </wp:inline>
              </w:drawing>
            </w:r>
          </w:p>
          <w:p>
            <w:pPr>
              <w:pStyle w:val="Normal"/>
              <w:spacing w:before="0" w:after="180"/>
              <w:jc w:val="center"/>
              <w:rPr/>
            </w:pPr>
            <w:r>
              <w:rPr>
                <w:rFonts w:eastAsia="Arial" w:cs="Arial"/>
                <w:b/>
                <w:bCs/>
                <w:color w:val="FFFFFF"/>
                <w:sz w:val="44"/>
                <w:szCs w:val="44"/>
              </w:rPr>
              <w:t>Compliance Monitoring Schedule</w:t>
            </w:r>
          </w:p>
          <w:p>
            <w:pPr>
              <w:pStyle w:val="Normal"/>
              <w:spacing w:before="0" w:after="40"/>
              <w:jc w:val="center"/>
              <w:rPr/>
            </w:pPr>
            <w:r>
              <w:rPr>
                <w:rFonts w:eastAsia="Arial" w:cs="Arial"/>
                <w:color w:val="FFFFFF"/>
                <w:sz w:val="22"/>
                <w:szCs w:val="22"/>
              </w:rPr>
              <w:t>Information Security Management System</w:t>
            </w:r>
          </w:p>
          <w:p>
            <w:pPr>
              <w:pStyle w:val="Normal"/>
              <w:spacing w:before="0" w:after="0"/>
              <w:jc w:val="center"/>
              <w:rPr/>
            </w:pPr>
            <w:r>
              <w:rPr>
                <w:rFonts w:eastAsia="Arial" w:cs="Arial"/>
                <w:i/>
                <w:iCs/>
                <w:color w:val="FFFFFF"/>
                <w:sz w:val="22"/>
                <w:szCs w:val="22"/>
              </w:rPr>
              <w:t>Conversational AI. Always connected.</w:t>
            </w:r>
          </w:p>
        </w:tc>
      </w:tr>
    </w:tbl>
    <w:p>
      <w:pPr>
        <w:pStyle w:val="Normal"/>
        <w:spacing w:before="60" w:after="60"/>
        <w:rPr/>
      </w:pPr>
      <w:r>
        <w:rPr/>
      </w:r>
    </w:p>
    <w:tbl>
      <w:tblPr>
        <w:tblW w:w="9026" w:type="dxa"/>
        <w:jc w:val="start"/>
        <w:tblInd w:w="0" w:type="dxa"/>
        <w:tblLayout w:type="fixed"/>
        <w:tblCellMar>
          <w:top w:w="140" w:type="dxa"/>
          <w:start w:w="200" w:type="dxa"/>
          <w:bottom w:w="140" w:type="dxa"/>
          <w:end w:w="200" w:type="dxa"/>
        </w:tblCellMar>
      </w:tblPr>
      <w:tblGrid>
        <w:gridCol w:w="4513"/>
        <w:gridCol w:w="4512"/>
      </w:tblGrid>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ID</w:t>
            </w:r>
          </w:p>
          <w:p>
            <w:pPr>
              <w:pStyle w:val="Normal"/>
              <w:spacing w:before="0" w:after="0"/>
              <w:rPr/>
            </w:pPr>
            <w:r>
              <w:rPr>
                <w:rFonts w:eastAsia="Arial" w:cs="Arial"/>
                <w:color w:val="1A1A1A"/>
                <w:sz w:val="22"/>
                <w:szCs w:val="22"/>
              </w:rPr>
              <w:t>PROG-COMP-001</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VERSION</w:t>
            </w:r>
          </w:p>
          <w:p>
            <w:pPr>
              <w:pStyle w:val="Normal"/>
              <w:spacing w:before="0" w:after="0"/>
              <w:rPr/>
            </w:pPr>
            <w:r>
              <w:rPr>
                <w:rFonts w:eastAsia="Arial" w:cs="Arial"/>
                <w:color w:val="1A1A1A"/>
                <w:sz w:val="22"/>
                <w:szCs w:val="22"/>
              </w:rPr>
              <w:t>1.0</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DOCUMENT TITLE</w:t>
            </w:r>
          </w:p>
          <w:p>
            <w:pPr>
              <w:pStyle w:val="Normal"/>
              <w:spacing w:before="0" w:after="0"/>
              <w:rPr/>
            </w:pPr>
            <w:r>
              <w:rPr>
                <w:rFonts w:eastAsia="Arial" w:cs="Arial"/>
                <w:color w:val="1A1A1A"/>
                <w:sz w:val="22"/>
                <w:szCs w:val="22"/>
              </w:rPr>
              <w:t>Compliance Monitoring Schedule</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STATUS</w:t>
            </w:r>
          </w:p>
          <w:p>
            <w:pPr>
              <w:pStyle w:val="Normal"/>
              <w:spacing w:before="0" w:after="0"/>
              <w:rPr/>
            </w:pPr>
            <w:r>
              <w:rPr>
                <w:rFonts w:eastAsia="Arial" w:cs="Arial"/>
                <w:color w:val="1A1A1A"/>
                <w:sz w:val="22"/>
                <w:szCs w:val="22"/>
              </w:rPr>
              <w:t>Approved</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OWNER</w:t>
            </w:r>
          </w:p>
          <w:p>
            <w:pPr>
              <w:pStyle w:val="Normal"/>
              <w:spacing w:before="0" w:after="0"/>
              <w:rPr/>
            </w:pPr>
            <w:r>
              <w:rPr>
                <w:rFonts w:eastAsia="Arial" w:cs="Arial"/>
                <w:color w:val="1A1A1A"/>
                <w:sz w:val="22"/>
                <w:szCs w:val="22"/>
              </w:rPr>
              <w:t>Information Security Manager</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APPROVER</w:t>
            </w:r>
          </w:p>
          <w:p>
            <w:pPr>
              <w:pStyle w:val="Normal"/>
              <w:spacing w:before="0" w:after="0"/>
              <w:rPr/>
            </w:pPr>
            <w:r>
              <w:rPr>
                <w:rFonts w:eastAsia="Arial" w:cs="Arial"/>
                <w:color w:val="1A1A1A"/>
                <w:sz w:val="22"/>
                <w:szCs w:val="22"/>
              </w:rPr>
              <w:t>Chief Executive Officer</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ISSUE DATE</w:t>
            </w:r>
          </w:p>
          <w:p>
            <w:pPr>
              <w:pStyle w:val="Normal"/>
              <w:spacing w:before="0" w:after="0"/>
              <w:rPr/>
            </w:pPr>
            <w:r>
              <w:rPr>
                <w:rFonts w:eastAsia="Arial" w:cs="Arial"/>
                <w:color w:val="1A1A1A"/>
                <w:sz w:val="22"/>
                <w:szCs w:val="22"/>
              </w:rPr>
              <w:t>April 2026</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EFFECTIVE FROM</w:t>
            </w:r>
          </w:p>
          <w:p>
            <w:pPr>
              <w:pStyle w:val="Normal"/>
              <w:spacing w:before="0" w:after="0"/>
              <w:rPr/>
            </w:pPr>
            <w:r>
              <w:rPr>
                <w:rFonts w:eastAsia="Arial" w:cs="Arial"/>
                <w:color w:val="1A1A1A"/>
                <w:sz w:val="22"/>
                <w:szCs w:val="22"/>
              </w:rPr>
              <w:t>April 2026</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NEXT REVIEW</w:t>
            </w:r>
          </w:p>
          <w:p>
            <w:pPr>
              <w:pStyle w:val="Normal"/>
              <w:spacing w:before="0" w:after="0"/>
              <w:rPr/>
            </w:pPr>
            <w:r>
              <w:rPr>
                <w:rFonts w:eastAsia="Arial" w:cs="Arial"/>
                <w:color w:val="1A1A1A"/>
                <w:sz w:val="22"/>
                <w:szCs w:val="22"/>
              </w:rPr>
              <w:t>April 2027</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REVIEW CYCLE</w:t>
            </w:r>
          </w:p>
          <w:p>
            <w:pPr>
              <w:pStyle w:val="Normal"/>
              <w:spacing w:before="0" w:after="0"/>
              <w:rPr/>
            </w:pPr>
            <w:r>
              <w:rPr>
                <w:rFonts w:eastAsia="Arial" w:cs="Arial"/>
                <w:color w:val="1A1A1A"/>
                <w:sz w:val="22"/>
                <w:szCs w:val="22"/>
              </w:rPr>
              <w:t>Annual or on material change</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CLASSIFICATION</w:t>
            </w:r>
          </w:p>
          <w:p>
            <w:pPr>
              <w:pStyle w:val="Normal"/>
              <w:spacing w:before="0" w:after="0"/>
              <w:rPr/>
            </w:pPr>
            <w:r>
              <w:rPr>
                <w:rFonts w:eastAsia="Arial" w:cs="Arial"/>
                <w:color w:val="1A1A1A"/>
                <w:sz w:val="22"/>
                <w:szCs w:val="22"/>
              </w:rPr>
              <w:t>Internal</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DISTRIBUTION</w:t>
            </w:r>
          </w:p>
          <w:p>
            <w:pPr>
              <w:pStyle w:val="Normal"/>
              <w:spacing w:before="0" w:after="0"/>
              <w:rPr/>
            </w:pPr>
            <w:r>
              <w:rPr>
                <w:rFonts w:eastAsia="Arial" w:cs="Arial"/>
                <w:color w:val="1A1A1A"/>
                <w:sz w:val="22"/>
                <w:szCs w:val="22"/>
              </w:rPr>
              <w:t>All personnel; third parties on request</w:t>
            </w:r>
          </w:p>
        </w:tc>
      </w:tr>
      <w:tr>
        <w:trPr/>
        <w:tc>
          <w:tcPr>
            <w:tcW w:w="4513" w:type="dxa"/>
            <w:tcBorders>
              <w:top w:val="single" w:sz="4" w:space="0" w:color="E0E0E0"/>
              <w:start w:val="single" w:sz="4" w:space="0" w:color="E0E0E0"/>
              <w:bottom w:val="single" w:sz="4" w:space="0" w:color="E0E0E0"/>
              <w:end w:val="single" w:sz="4" w:space="0" w:color="E0E0E0"/>
            </w:tcBorders>
            <w:shd w:fill="F0F2E5" w:val="clear"/>
          </w:tcPr>
          <w:p>
            <w:pPr>
              <w:pStyle w:val="Normal"/>
              <w:spacing w:before="0" w:after="60"/>
              <w:rPr/>
            </w:pPr>
            <w:r>
              <w:rPr>
                <w:rFonts w:eastAsia="Arial" w:cs="Arial"/>
                <w:b/>
                <w:bCs/>
                <w:color w:val="0000FF"/>
                <w:spacing w:val="40"/>
                <w:sz w:val="18"/>
                <w:szCs w:val="18"/>
              </w:rPr>
              <w:t>SoA REFERENCE</w:t>
            </w:r>
          </w:p>
          <w:p>
            <w:pPr>
              <w:pStyle w:val="Normal"/>
              <w:spacing w:before="0" w:after="0"/>
              <w:rPr/>
            </w:pPr>
            <w:r>
              <w:rPr>
                <w:rFonts w:eastAsia="Arial" w:cs="Arial"/>
                <w:color w:val="1A1A1A"/>
                <w:sz w:val="22"/>
                <w:szCs w:val="22"/>
              </w:rPr>
              <w:t>ISMS-SOA-001 v4.0</w:t>
            </w:r>
          </w:p>
        </w:tc>
        <w:tc>
          <w:tcPr>
            <w:tcW w:w="4512" w:type="dxa"/>
            <w:tcBorders>
              <w:top w:val="single" w:sz="4" w:space="0" w:color="E0E0E0"/>
              <w:start w:val="single" w:sz="4" w:space="0" w:color="E0E0E0"/>
              <w:bottom w:val="single" w:sz="4" w:space="0" w:color="E0E0E0"/>
              <w:end w:val="single" w:sz="4" w:space="0" w:color="E0E0E0"/>
            </w:tcBorders>
            <w:shd w:fill="FFFFFF" w:val="clear"/>
          </w:tcPr>
          <w:p>
            <w:pPr>
              <w:pStyle w:val="Normal"/>
              <w:spacing w:before="0" w:after="60"/>
              <w:rPr/>
            </w:pPr>
            <w:r>
              <w:rPr>
                <w:rFonts w:eastAsia="Arial" w:cs="Arial"/>
                <w:b/>
                <w:bCs/>
                <w:color w:val="0000FF"/>
                <w:spacing w:val="40"/>
                <w:sz w:val="18"/>
                <w:szCs w:val="18"/>
              </w:rPr>
              <w:t>ISMS MAP</w:t>
            </w:r>
          </w:p>
          <w:p>
            <w:pPr>
              <w:pStyle w:val="Normal"/>
              <w:spacing w:before="0" w:after="0"/>
              <w:rPr/>
            </w:pPr>
            <w:r>
              <w:rPr>
                <w:rFonts w:eastAsia="Arial" w:cs="Arial"/>
                <w:color w:val="1A1A1A"/>
                <w:sz w:val="22"/>
                <w:szCs w:val="22"/>
              </w:rPr>
              <w:t>ISMS-MAP-001 v1.0</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Contents</w:t>
      </w:r>
    </w:p>
    <w:p>
      <w:pPr>
        <w:pStyle w:val="Normal"/>
        <w:pBdr>
          <w:bottom w:val="single" w:sz="12" w:space="1" w:color="0000FF"/>
        </w:pBdr>
        <w:spacing w:before="0" w:after="200"/>
        <w:rPr/>
      </w:pPr>
      <w:r>
        <w:rPr/>
      </w:r>
    </w:p>
    <w:p>
      <w:pPr>
        <w:pStyle w:val="Normal"/>
        <w:spacing w:before="40" w:after="40"/>
        <w:rPr/>
      </w:pPr>
      <w:r>
        <w:rPr>
          <w:rFonts w:eastAsia="Arial" w:cs="Arial"/>
          <w:color w:val="1A1A1A"/>
          <w:sz w:val="22"/>
          <w:szCs w:val="22"/>
        </w:rPr>
        <w:t>1. Purpose</w:t>
      </w:r>
    </w:p>
    <w:p>
      <w:pPr>
        <w:pStyle w:val="Normal"/>
        <w:spacing w:before="40" w:after="40"/>
        <w:rPr/>
      </w:pPr>
      <w:r>
        <w:rPr>
          <w:rFonts w:eastAsia="Arial" w:cs="Arial"/>
          <w:color w:val="1A1A1A"/>
          <w:sz w:val="22"/>
          <w:szCs w:val="22"/>
        </w:rPr>
        <w:t>2. Scope</w:t>
      </w:r>
    </w:p>
    <w:p>
      <w:pPr>
        <w:pStyle w:val="Normal"/>
        <w:spacing w:before="40" w:after="40"/>
        <w:rPr/>
      </w:pPr>
      <w:r>
        <w:rPr>
          <w:rFonts w:eastAsia="Arial" w:cs="Arial"/>
          <w:color w:val="1A1A1A"/>
          <w:sz w:val="22"/>
          <w:szCs w:val="22"/>
        </w:rPr>
        <w:t>3. Definitions</w:t>
      </w:r>
    </w:p>
    <w:p>
      <w:pPr>
        <w:pStyle w:val="Normal"/>
        <w:spacing w:before="40" w:after="40"/>
        <w:rPr/>
      </w:pPr>
      <w:r>
        <w:rPr>
          <w:rFonts w:eastAsia="Arial" w:cs="Arial"/>
          <w:color w:val="1A1A1A"/>
          <w:sz w:val="22"/>
          <w:szCs w:val="22"/>
        </w:rPr>
        <w:t>4. Principles</w:t>
      </w:r>
    </w:p>
    <w:p>
      <w:pPr>
        <w:pStyle w:val="Normal"/>
        <w:spacing w:before="40" w:after="40"/>
        <w:rPr/>
      </w:pPr>
      <w:r>
        <w:rPr>
          <w:rFonts w:eastAsia="Arial" w:cs="Arial"/>
          <w:color w:val="1A1A1A"/>
          <w:sz w:val="22"/>
          <w:szCs w:val="22"/>
        </w:rPr>
        <w:t>5. Roles and Responsibilities</w:t>
      </w:r>
    </w:p>
    <w:p>
      <w:pPr>
        <w:pStyle w:val="Normal"/>
        <w:spacing w:before="40" w:after="40"/>
        <w:rPr/>
      </w:pPr>
      <w:r>
        <w:rPr>
          <w:rFonts w:eastAsia="Arial" w:cs="Arial"/>
          <w:color w:val="1A1A1A"/>
          <w:sz w:val="22"/>
          <w:szCs w:val="22"/>
        </w:rPr>
        <w:t>6. Compliance Domains Covered</w:t>
      </w:r>
    </w:p>
    <w:p>
      <w:pPr>
        <w:pStyle w:val="Normal"/>
        <w:spacing w:before="40" w:after="40"/>
        <w:rPr/>
      </w:pPr>
      <w:r>
        <w:rPr>
          <w:rFonts w:eastAsia="Arial" w:cs="Arial"/>
          <w:color w:val="1A1A1A"/>
          <w:sz w:val="22"/>
          <w:szCs w:val="22"/>
        </w:rPr>
        <w:t>7. Monitoring Methods</w:t>
      </w:r>
    </w:p>
    <w:p>
      <w:pPr>
        <w:pStyle w:val="Normal"/>
        <w:spacing w:before="40" w:after="40"/>
        <w:rPr/>
      </w:pPr>
      <w:r>
        <w:rPr>
          <w:rFonts w:eastAsia="Arial" w:cs="Arial"/>
          <w:color w:val="1A1A1A"/>
          <w:sz w:val="22"/>
          <w:szCs w:val="22"/>
        </w:rPr>
        <w:t>8. The Schedule</w:t>
      </w:r>
    </w:p>
    <w:p>
      <w:pPr>
        <w:pStyle w:val="Normal"/>
        <w:spacing w:before="40" w:after="40"/>
        <w:rPr/>
      </w:pPr>
      <w:r>
        <w:rPr>
          <w:rFonts w:eastAsia="Arial" w:cs="Arial"/>
          <w:color w:val="1A1A1A"/>
          <w:sz w:val="22"/>
          <w:szCs w:val="22"/>
        </w:rPr>
        <w:t xml:space="preserve">   </w:t>
      </w:r>
      <w:r>
        <w:rPr>
          <w:rFonts w:eastAsia="Arial" w:cs="Arial"/>
          <w:color w:val="1A1A1A"/>
          <w:sz w:val="22"/>
          <w:szCs w:val="22"/>
        </w:rPr>
        <w:t>8.1 Continuous Monitoring</w:t>
      </w:r>
    </w:p>
    <w:p>
      <w:pPr>
        <w:pStyle w:val="Normal"/>
        <w:spacing w:before="40" w:after="40"/>
        <w:rPr/>
      </w:pPr>
      <w:r>
        <w:rPr>
          <w:rFonts w:eastAsia="Arial" w:cs="Arial"/>
          <w:color w:val="1A1A1A"/>
          <w:sz w:val="22"/>
          <w:szCs w:val="22"/>
        </w:rPr>
        <w:t xml:space="preserve">   </w:t>
      </w:r>
      <w:r>
        <w:rPr>
          <w:rFonts w:eastAsia="Arial" w:cs="Arial"/>
          <w:color w:val="1A1A1A"/>
          <w:sz w:val="22"/>
          <w:szCs w:val="22"/>
        </w:rPr>
        <w:t>8.2 Monthly Activities</w:t>
      </w:r>
    </w:p>
    <w:p>
      <w:pPr>
        <w:pStyle w:val="Normal"/>
        <w:spacing w:before="40" w:after="40"/>
        <w:rPr/>
      </w:pPr>
      <w:r>
        <w:rPr>
          <w:rFonts w:eastAsia="Arial" w:cs="Arial"/>
          <w:color w:val="1A1A1A"/>
          <w:sz w:val="22"/>
          <w:szCs w:val="22"/>
        </w:rPr>
        <w:t xml:space="preserve">   </w:t>
      </w:r>
      <w:r>
        <w:rPr>
          <w:rFonts w:eastAsia="Arial" w:cs="Arial"/>
          <w:color w:val="1A1A1A"/>
          <w:sz w:val="22"/>
          <w:szCs w:val="22"/>
        </w:rPr>
        <w:t>8.3 Quarterly Activities</w:t>
      </w:r>
    </w:p>
    <w:p>
      <w:pPr>
        <w:pStyle w:val="Normal"/>
        <w:spacing w:before="40" w:after="40"/>
        <w:rPr/>
      </w:pPr>
      <w:r>
        <w:rPr>
          <w:rFonts w:eastAsia="Arial" w:cs="Arial"/>
          <w:color w:val="1A1A1A"/>
          <w:sz w:val="22"/>
          <w:szCs w:val="22"/>
        </w:rPr>
        <w:t xml:space="preserve">   </w:t>
      </w:r>
      <w:r>
        <w:rPr>
          <w:rFonts w:eastAsia="Arial" w:cs="Arial"/>
          <w:color w:val="1A1A1A"/>
          <w:sz w:val="22"/>
          <w:szCs w:val="22"/>
        </w:rPr>
        <w:t>8.4 Annual Activities</w:t>
      </w:r>
    </w:p>
    <w:p>
      <w:pPr>
        <w:pStyle w:val="Normal"/>
        <w:spacing w:before="40" w:after="40"/>
        <w:rPr/>
      </w:pPr>
      <w:r>
        <w:rPr>
          <w:rFonts w:eastAsia="Arial" w:cs="Arial"/>
          <w:color w:val="1A1A1A"/>
          <w:sz w:val="22"/>
          <w:szCs w:val="22"/>
        </w:rPr>
        <w:t>9. Recording Findings</w:t>
      </w:r>
    </w:p>
    <w:p>
      <w:pPr>
        <w:pStyle w:val="Normal"/>
        <w:spacing w:before="40" w:after="40"/>
        <w:rPr/>
      </w:pPr>
      <w:r>
        <w:rPr>
          <w:rFonts w:eastAsia="Arial" w:cs="Arial"/>
          <w:color w:val="1A1A1A"/>
          <w:sz w:val="22"/>
          <w:szCs w:val="22"/>
        </w:rPr>
        <w:t>10. Escalation and Corrective Action</w:t>
      </w:r>
    </w:p>
    <w:p>
      <w:pPr>
        <w:pStyle w:val="Normal"/>
        <w:spacing w:before="40" w:after="40"/>
        <w:rPr/>
      </w:pPr>
      <w:r>
        <w:rPr>
          <w:rFonts w:eastAsia="Arial" w:cs="Arial"/>
          <w:color w:val="1A1A1A"/>
          <w:sz w:val="22"/>
          <w:szCs w:val="22"/>
        </w:rPr>
        <w:t>11. Reporting</w:t>
      </w:r>
    </w:p>
    <w:p>
      <w:pPr>
        <w:pStyle w:val="Normal"/>
        <w:spacing w:before="40" w:after="40"/>
        <w:rPr/>
      </w:pPr>
      <w:r>
        <w:rPr>
          <w:rFonts w:eastAsia="Arial" w:cs="Arial"/>
          <w:color w:val="1A1A1A"/>
          <w:sz w:val="22"/>
          <w:szCs w:val="22"/>
        </w:rPr>
        <w:t>12. Maintenance</w:t>
      </w:r>
    </w:p>
    <w:p>
      <w:pPr>
        <w:pStyle w:val="Normal"/>
        <w:spacing w:before="40" w:after="40"/>
        <w:rPr/>
      </w:pPr>
      <w:r>
        <w:rPr>
          <w:rFonts w:eastAsia="Arial" w:cs="Arial"/>
          <w:color w:val="1A1A1A"/>
          <w:sz w:val="22"/>
          <w:szCs w:val="22"/>
        </w:rPr>
        <w:t>13. Acknowledgement</w:t>
      </w:r>
    </w:p>
    <w:p>
      <w:pPr>
        <w:pStyle w:val="Normal"/>
        <w:spacing w:before="40" w:after="40"/>
        <w:rPr/>
      </w:pPr>
      <w:r>
        <w:rPr>
          <w:rFonts w:eastAsia="Arial" w:cs="Arial"/>
          <w:color w:val="1A1A1A"/>
          <w:sz w:val="22"/>
          <w:szCs w:val="22"/>
        </w:rPr>
        <w:t>Annex A — Annex A Controls Addressed</w:t>
      </w:r>
    </w:p>
    <w:p>
      <w:pPr>
        <w:pStyle w:val="Normal"/>
        <w:spacing w:before="40" w:after="40"/>
        <w:rPr/>
      </w:pPr>
      <w:r>
        <w:rPr>
          <w:rFonts w:eastAsia="Arial" w:cs="Arial"/>
          <w:color w:val="1A1A1A"/>
          <w:sz w:val="22"/>
          <w:szCs w:val="22"/>
        </w:rPr>
        <w:t>Annex B — Version History</w:t>
      </w:r>
    </w:p>
    <w:p>
      <w:pPr>
        <w:pStyle w:val="Normal"/>
        <w:rPr/>
      </w:pPr>
      <w:r>
        <w:rPr/>
      </w:r>
      <w:r>
        <w:br w:type="page"/>
      </w:r>
    </w:p>
    <w:p>
      <w:pPr>
        <w:pStyle w:val="Heading1"/>
        <w:spacing w:before="0" w:after="180"/>
        <w:rPr/>
      </w:pPr>
      <w:r>
        <w:rPr>
          <w:rFonts w:eastAsia="Arial" w:cs="Arial" w:ascii="Arial" w:hAnsi="Arial"/>
          <w:b/>
          <w:bCs/>
          <w:color w:val="0000FF"/>
          <w:sz w:val="36"/>
          <w:szCs w:val="36"/>
        </w:rPr>
        <w:t>1. Purpose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Compliance Monitoring Schedule defines how Cloudax Ltd. monitors compliance with its information security policies, procedures, controls, and applicable legal, regulatory, and contractual obligations.</w:t>
      </w:r>
    </w:p>
    <w:p>
      <w:pPr>
        <w:pStyle w:val="Normal"/>
        <w:spacing w:before="40" w:after="120"/>
        <w:rPr/>
      </w:pPr>
      <w:r>
        <w:rPr>
          <w:rFonts w:eastAsia="Arial" w:cs="Arial"/>
          <w:b/>
          <w:bCs/>
          <w:color w:val="0000FF"/>
          <w:spacing w:val="20"/>
          <w:sz w:val="18"/>
          <w:szCs w:val="18"/>
        </w:rPr>
        <w:t xml:space="preserve">ISO 27001:2022 references: </w:t>
      </w:r>
      <w:r>
        <w:rPr>
          <w:rFonts w:eastAsia="Arial" w:cs="Arial"/>
          <w:color w:val="1A1A1A"/>
          <w:sz w:val="18"/>
          <w:szCs w:val="18"/>
        </w:rPr>
        <w:t>Linked control: A.5.36 Compliance with policies, rules and standards</w:t>
      </w:r>
    </w:p>
    <w:p>
      <w:pPr>
        <w:pStyle w:val="Heading1"/>
        <w:spacing w:before="360" w:after="180"/>
        <w:rPr/>
      </w:pPr>
      <w:r>
        <w:rPr>
          <w:rFonts w:eastAsia="Arial" w:cs="Arial" w:ascii="Arial" w:hAnsi="Arial"/>
          <w:b/>
          <w:bCs/>
          <w:color w:val="0000FF"/>
          <w:sz w:val="36"/>
          <w:szCs w:val="36"/>
        </w:rPr>
        <w:t>2. Scope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Schedule applies to all systems, processes, and personnel within the Cloudax ISMS scope (ISMS-SCOPE-001).</w:t>
      </w:r>
    </w:p>
    <w:p>
      <w:pPr>
        <w:pStyle w:val="Heading1"/>
        <w:spacing w:before="360" w:after="180"/>
        <w:rPr/>
      </w:pPr>
      <w:r>
        <w:rPr>
          <w:rFonts w:eastAsia="Arial" w:cs="Arial" w:ascii="Arial" w:hAnsi="Arial"/>
          <w:b/>
          <w:bCs/>
          <w:color w:val="0000FF"/>
          <w:sz w:val="36"/>
          <w:szCs w:val="36"/>
        </w:rPr>
        <w:t>3. Definitions</w:t>
      </w:r>
    </w:p>
    <w:p>
      <w:pPr>
        <w:pStyle w:val="Normal"/>
        <w:pBdr>
          <w:bottom w:val="single" w:sz="12" w:space="1" w:color="0000FF"/>
        </w:pBdr>
        <w:spacing w:before="0" w:after="200"/>
        <w:rPr/>
      </w:pPr>
      <w:r>
        <w:rPr/>
      </w:r>
    </w:p>
    <w:p>
      <w:pPr>
        <w:pStyle w:val="ListParagraph"/>
        <w:numPr>
          <w:ilvl w:val="0"/>
          <w:numId w:val="3"/>
        </w:numPr>
        <w:spacing w:lineRule="exact" w:line="280" w:before="40" w:after="40"/>
        <w:rPr/>
      </w:pPr>
      <w:r>
        <w:rPr>
          <w:rFonts w:eastAsia="Arial" w:cs="Arial"/>
          <w:b/>
          <w:bCs/>
          <w:color w:val="1A1A1A"/>
          <w:sz w:val="22"/>
          <w:szCs w:val="22"/>
        </w:rPr>
        <w:t xml:space="preserve">Compliance: </w:t>
      </w:r>
      <w:r>
        <w:rPr>
          <w:rFonts w:eastAsia="Arial" w:cs="Arial"/>
          <w:color w:val="1A1A1A"/>
          <w:sz w:val="22"/>
          <w:szCs w:val="22"/>
        </w:rPr>
        <w:t>the state of conforming to applicable obligations.</w:t>
      </w:r>
    </w:p>
    <w:p>
      <w:pPr>
        <w:pStyle w:val="ListParagraph"/>
        <w:numPr>
          <w:ilvl w:val="0"/>
          <w:numId w:val="1"/>
        </w:numPr>
        <w:spacing w:lineRule="exact" w:line="280" w:before="40" w:after="40"/>
        <w:rPr/>
      </w:pPr>
      <w:r>
        <w:rPr>
          <w:rFonts w:eastAsia="Arial" w:cs="Arial"/>
          <w:b/>
          <w:bCs/>
          <w:color w:val="1A1A1A"/>
          <w:sz w:val="22"/>
          <w:szCs w:val="22"/>
        </w:rPr>
        <w:t xml:space="preserve">Monitoring: </w:t>
      </w:r>
      <w:r>
        <w:rPr>
          <w:rFonts w:eastAsia="Arial" w:cs="Arial"/>
          <w:color w:val="1A1A1A"/>
          <w:sz w:val="22"/>
          <w:szCs w:val="22"/>
        </w:rPr>
        <w:t>the systematic examination of activities to assess conformity.</w:t>
      </w:r>
    </w:p>
    <w:p>
      <w:pPr>
        <w:pStyle w:val="ListParagraph"/>
        <w:numPr>
          <w:ilvl w:val="0"/>
          <w:numId w:val="1"/>
        </w:numPr>
        <w:spacing w:lineRule="exact" w:line="280" w:before="40" w:after="40"/>
        <w:rPr/>
      </w:pPr>
      <w:r>
        <w:rPr>
          <w:rFonts w:eastAsia="Arial" w:cs="Arial"/>
          <w:b/>
          <w:bCs/>
          <w:color w:val="1A1A1A"/>
          <w:sz w:val="22"/>
          <w:szCs w:val="22"/>
        </w:rPr>
        <w:t xml:space="preserve">Finding: </w:t>
      </w:r>
      <w:r>
        <w:rPr>
          <w:rFonts w:eastAsia="Arial" w:cs="Arial"/>
          <w:color w:val="1A1A1A"/>
          <w:sz w:val="22"/>
          <w:szCs w:val="22"/>
        </w:rPr>
        <w:t>an observation arising from monitoring that requires recording, classification, and where appropriate corrective action.</w:t>
      </w:r>
    </w:p>
    <w:p>
      <w:pPr>
        <w:pStyle w:val="Heading1"/>
        <w:spacing w:before="360" w:after="180"/>
        <w:rPr/>
      </w:pPr>
      <w:r>
        <w:rPr>
          <w:rFonts w:eastAsia="Arial" w:cs="Arial" w:ascii="Arial" w:hAnsi="Arial"/>
          <w:b/>
          <w:bCs/>
          <w:color w:val="0000FF"/>
          <w:sz w:val="36"/>
          <w:szCs w:val="36"/>
        </w:rPr>
        <w:t>4. Principles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Risk-based: monitoring focuses on the highest-risk areas and on obligations with the most material consequences.</w:t>
      </w:r>
    </w:p>
    <w:p>
      <w:pPr>
        <w:pStyle w:val="ListParagraph"/>
        <w:numPr>
          <w:ilvl w:val="0"/>
          <w:numId w:val="1"/>
        </w:numPr>
        <w:spacing w:lineRule="exact" w:line="280" w:before="40" w:after="40"/>
        <w:rPr/>
      </w:pPr>
      <w:r>
        <w:rPr>
          <w:rFonts w:eastAsia="Arial" w:cs="Arial"/>
          <w:color w:val="1A1A1A"/>
          <w:sz w:val="22"/>
          <w:szCs w:val="22"/>
        </w:rPr>
        <w:t>Continuous where possible: automated, continuous monitoring supplements scheduled review.</w:t>
      </w:r>
    </w:p>
    <w:p>
      <w:pPr>
        <w:pStyle w:val="ListParagraph"/>
        <w:numPr>
          <w:ilvl w:val="0"/>
          <w:numId w:val="1"/>
        </w:numPr>
        <w:spacing w:lineRule="exact" w:line="280" w:before="40" w:after="40"/>
        <w:rPr/>
      </w:pPr>
      <w:r>
        <w:rPr>
          <w:rFonts w:eastAsia="Arial" w:cs="Arial"/>
          <w:color w:val="1A1A1A"/>
          <w:sz w:val="22"/>
          <w:szCs w:val="22"/>
        </w:rPr>
        <w:t>Proportionate: monitoring is calibrated to Cloudax’s size and the small team that operates it.</w:t>
      </w:r>
    </w:p>
    <w:p>
      <w:pPr>
        <w:pStyle w:val="ListParagraph"/>
        <w:numPr>
          <w:ilvl w:val="0"/>
          <w:numId w:val="1"/>
        </w:numPr>
        <w:spacing w:lineRule="exact" w:line="280" w:before="40" w:after="40"/>
        <w:rPr/>
      </w:pPr>
      <w:r>
        <w:rPr>
          <w:rFonts w:eastAsia="Arial" w:cs="Arial"/>
          <w:color w:val="1A1A1A"/>
          <w:sz w:val="22"/>
          <w:szCs w:val="22"/>
        </w:rPr>
        <w:t>Independent where it matters: high-stakes monitoring is performed by someone other than the activity owner.</w:t>
      </w:r>
    </w:p>
    <w:p>
      <w:pPr>
        <w:pStyle w:val="ListParagraph"/>
        <w:numPr>
          <w:ilvl w:val="0"/>
          <w:numId w:val="1"/>
        </w:numPr>
        <w:spacing w:lineRule="exact" w:line="280" w:before="40" w:after="40"/>
        <w:rPr/>
      </w:pPr>
      <w:r>
        <w:rPr>
          <w:rFonts w:eastAsia="Arial" w:cs="Arial"/>
          <w:color w:val="1A1A1A"/>
          <w:sz w:val="22"/>
          <w:szCs w:val="22"/>
        </w:rPr>
        <w:t>Action-oriented: findings drive corrective action, not just reporting.</w:t>
      </w:r>
    </w:p>
    <w:p>
      <w:pPr>
        <w:pStyle w:val="Heading1"/>
        <w:spacing w:before="360" w:after="180"/>
        <w:rPr/>
      </w:pPr>
      <w:r>
        <w:rPr>
          <w:rFonts w:eastAsia="Arial" w:cs="Arial" w:ascii="Arial" w:hAnsi="Arial"/>
          <w:b/>
          <w:bCs/>
          <w:color w:val="0000FF"/>
          <w:sz w:val="36"/>
          <w:szCs w:val="36"/>
        </w:rPr>
        <w:t>5. Roles and Responsibilities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Information Security Manager: owns this Schedule; coordinates monitoring; consolidates findings; reports to management review.</w:t>
      </w:r>
    </w:p>
    <w:p>
      <w:pPr>
        <w:pStyle w:val="ListParagraph"/>
        <w:numPr>
          <w:ilvl w:val="0"/>
          <w:numId w:val="1"/>
        </w:numPr>
        <w:spacing w:lineRule="exact" w:line="280" w:before="40" w:after="40"/>
        <w:rPr/>
      </w:pPr>
      <w:r>
        <w:rPr>
          <w:rFonts w:eastAsia="Arial" w:cs="Arial"/>
          <w:color w:val="1A1A1A"/>
          <w:sz w:val="22"/>
          <w:szCs w:val="22"/>
        </w:rPr>
        <w:t>Privacy Lead: owns monitoring of personal data obligations under UK GDPR / DPA 2018.</w:t>
      </w:r>
    </w:p>
    <w:p>
      <w:pPr>
        <w:pStyle w:val="ListParagraph"/>
        <w:numPr>
          <w:ilvl w:val="0"/>
          <w:numId w:val="1"/>
        </w:numPr>
        <w:spacing w:lineRule="exact" w:line="280" w:before="40" w:after="40"/>
        <w:rPr/>
      </w:pPr>
      <w:r>
        <w:rPr>
          <w:rFonts w:eastAsia="Arial" w:cs="Arial"/>
          <w:color w:val="1A1A1A"/>
          <w:sz w:val="22"/>
          <w:szCs w:val="22"/>
        </w:rPr>
        <w:t>Chief Technology Officer: owns monitoring of technical control effectiveness.</w:t>
      </w:r>
    </w:p>
    <w:p>
      <w:pPr>
        <w:pStyle w:val="ListParagraph"/>
        <w:numPr>
          <w:ilvl w:val="0"/>
          <w:numId w:val="1"/>
        </w:numPr>
        <w:spacing w:lineRule="exact" w:line="280" w:before="40" w:after="40"/>
        <w:rPr/>
      </w:pPr>
      <w:r>
        <w:rPr>
          <w:rFonts w:eastAsia="Arial" w:cs="Arial"/>
          <w:color w:val="1A1A1A"/>
          <w:sz w:val="22"/>
          <w:szCs w:val="22"/>
        </w:rPr>
        <w:t>Process owners: cooperate with monitoring of processes within their domain.</w:t>
      </w:r>
    </w:p>
    <w:p>
      <w:pPr>
        <w:pStyle w:val="ListParagraph"/>
        <w:numPr>
          <w:ilvl w:val="0"/>
          <w:numId w:val="1"/>
        </w:numPr>
        <w:spacing w:lineRule="exact" w:line="280" w:before="40" w:after="40"/>
        <w:rPr/>
      </w:pPr>
      <w:r>
        <w:rPr>
          <w:rFonts w:eastAsia="Arial" w:cs="Arial"/>
          <w:color w:val="1A1A1A"/>
          <w:sz w:val="22"/>
          <w:szCs w:val="22"/>
        </w:rPr>
        <w:t>Internal auditors (PROG-AUDIT-001): conduct independent compliance audits as part of the audit programme.</w:t>
      </w:r>
    </w:p>
    <w:p>
      <w:pPr>
        <w:pStyle w:val="Heading1"/>
        <w:spacing w:before="360" w:after="180"/>
        <w:rPr/>
      </w:pPr>
      <w:r>
        <w:rPr>
          <w:rFonts w:eastAsia="Arial" w:cs="Arial" w:ascii="Arial" w:hAnsi="Arial"/>
          <w:b/>
          <w:bCs/>
          <w:color w:val="0000FF"/>
          <w:sz w:val="36"/>
          <w:szCs w:val="36"/>
        </w:rPr>
        <w:t>6. Compliance Domains Covered</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ISO/IEC 27001:2022 conformance, including the controls in ISMS-SOA-001 v4.0.</w:t>
      </w:r>
    </w:p>
    <w:p>
      <w:pPr>
        <w:pStyle w:val="ListParagraph"/>
        <w:numPr>
          <w:ilvl w:val="0"/>
          <w:numId w:val="1"/>
        </w:numPr>
        <w:spacing w:lineRule="exact" w:line="280" w:before="40" w:after="40"/>
        <w:rPr/>
      </w:pPr>
      <w:r>
        <w:rPr>
          <w:rFonts w:eastAsia="Arial" w:cs="Arial"/>
          <w:color w:val="1A1A1A"/>
          <w:sz w:val="22"/>
          <w:szCs w:val="22"/>
        </w:rPr>
        <w:t>UK GDPR and Data Protection Act 2018.</w:t>
      </w:r>
    </w:p>
    <w:p>
      <w:pPr>
        <w:pStyle w:val="ListParagraph"/>
        <w:numPr>
          <w:ilvl w:val="0"/>
          <w:numId w:val="1"/>
        </w:numPr>
        <w:spacing w:lineRule="exact" w:line="280" w:before="40" w:after="40"/>
        <w:rPr/>
      </w:pPr>
      <w:r>
        <w:rPr>
          <w:rFonts w:eastAsia="Arial" w:cs="Arial"/>
          <w:color w:val="1A1A1A"/>
          <w:sz w:val="22"/>
          <w:szCs w:val="22"/>
        </w:rPr>
        <w:t>PECR, Computer Misuse Act, IP and software licence law.</w:t>
      </w:r>
    </w:p>
    <w:p>
      <w:pPr>
        <w:pStyle w:val="ListParagraph"/>
        <w:numPr>
          <w:ilvl w:val="0"/>
          <w:numId w:val="1"/>
        </w:numPr>
        <w:spacing w:lineRule="exact" w:line="280" w:before="40" w:after="40"/>
        <w:rPr/>
      </w:pPr>
      <w:r>
        <w:rPr>
          <w:rFonts w:eastAsia="Arial" w:cs="Arial"/>
          <w:color w:val="1A1A1A"/>
          <w:sz w:val="22"/>
          <w:szCs w:val="22"/>
        </w:rPr>
        <w:t>Customer contractual security and privacy obligations.</w:t>
      </w:r>
    </w:p>
    <w:p>
      <w:pPr>
        <w:pStyle w:val="ListParagraph"/>
        <w:numPr>
          <w:ilvl w:val="0"/>
          <w:numId w:val="1"/>
        </w:numPr>
        <w:spacing w:lineRule="exact" w:line="280" w:before="40" w:after="40"/>
        <w:rPr/>
      </w:pPr>
      <w:r>
        <w:rPr>
          <w:rFonts w:eastAsia="Arial" w:cs="Arial"/>
          <w:color w:val="1A1A1A"/>
          <w:sz w:val="22"/>
          <w:szCs w:val="22"/>
        </w:rPr>
        <w:t>Cloudax internal policies and procedures.</w:t>
      </w:r>
    </w:p>
    <w:p>
      <w:pPr>
        <w:pStyle w:val="Heading1"/>
        <w:spacing w:before="360" w:after="180"/>
        <w:rPr/>
      </w:pPr>
      <w:r>
        <w:rPr>
          <w:rFonts w:eastAsia="Arial" w:cs="Arial" w:ascii="Arial" w:hAnsi="Arial"/>
          <w:b/>
          <w:bCs/>
          <w:color w:val="0000FF"/>
          <w:sz w:val="36"/>
          <w:szCs w:val="36"/>
        </w:rPr>
        <w:t>7. Monitoring Methods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b/>
          <w:bCs/>
          <w:color w:val="1A1A1A"/>
          <w:sz w:val="22"/>
          <w:szCs w:val="22"/>
        </w:rPr>
        <w:t xml:space="preserve">Automated technical monitoring: </w:t>
      </w:r>
      <w:r>
        <w:rPr>
          <w:rFonts w:eastAsia="Arial" w:cs="Arial"/>
          <w:color w:val="1A1A1A"/>
          <w:sz w:val="22"/>
          <w:szCs w:val="22"/>
        </w:rPr>
        <w:t>alerts, configuration scans, vulnerability scans, DLP events, log review (POL-019, POL-020).</w:t>
      </w:r>
    </w:p>
    <w:p>
      <w:pPr>
        <w:pStyle w:val="ListParagraph"/>
        <w:numPr>
          <w:ilvl w:val="0"/>
          <w:numId w:val="1"/>
        </w:numPr>
        <w:spacing w:lineRule="exact" w:line="280" w:before="40" w:after="40"/>
        <w:rPr/>
      </w:pPr>
      <w:r>
        <w:rPr>
          <w:rFonts w:eastAsia="Arial" w:cs="Arial"/>
          <w:b/>
          <w:bCs/>
          <w:color w:val="1A1A1A"/>
          <w:sz w:val="22"/>
          <w:szCs w:val="22"/>
        </w:rPr>
        <w:t xml:space="preserve">Sample-based review: </w:t>
      </w:r>
      <w:r>
        <w:rPr>
          <w:rFonts w:eastAsia="Arial" w:cs="Arial"/>
          <w:color w:val="1A1A1A"/>
          <w:sz w:val="22"/>
          <w:szCs w:val="22"/>
        </w:rPr>
        <w:t>sampled access reviews, change reviews, training records.</w:t>
      </w:r>
    </w:p>
    <w:p>
      <w:pPr>
        <w:pStyle w:val="ListParagraph"/>
        <w:numPr>
          <w:ilvl w:val="0"/>
          <w:numId w:val="1"/>
        </w:numPr>
        <w:spacing w:lineRule="exact" w:line="280" w:before="40" w:after="40"/>
        <w:rPr/>
      </w:pPr>
      <w:r>
        <w:rPr>
          <w:rFonts w:eastAsia="Arial" w:cs="Arial"/>
          <w:b/>
          <w:bCs/>
          <w:color w:val="1A1A1A"/>
          <w:sz w:val="22"/>
          <w:szCs w:val="22"/>
        </w:rPr>
        <w:t xml:space="preserve">Walkthrough: </w:t>
      </w:r>
      <w:r>
        <w:rPr>
          <w:rFonts w:eastAsia="Arial" w:cs="Arial"/>
          <w:color w:val="1A1A1A"/>
          <w:sz w:val="22"/>
          <w:szCs w:val="22"/>
        </w:rPr>
        <w:t>guided demonstration that a procedure operates as documented.</w:t>
      </w:r>
    </w:p>
    <w:p>
      <w:pPr>
        <w:pStyle w:val="ListParagraph"/>
        <w:numPr>
          <w:ilvl w:val="0"/>
          <w:numId w:val="1"/>
        </w:numPr>
        <w:spacing w:lineRule="exact" w:line="280" w:before="40" w:after="40"/>
        <w:rPr/>
      </w:pPr>
      <w:r>
        <w:rPr>
          <w:rFonts w:eastAsia="Arial" w:cs="Arial"/>
          <w:b/>
          <w:bCs/>
          <w:color w:val="1A1A1A"/>
          <w:sz w:val="22"/>
          <w:szCs w:val="22"/>
        </w:rPr>
        <w:t xml:space="preserve">Internal audit: </w:t>
      </w:r>
      <w:r>
        <w:rPr>
          <w:rFonts w:eastAsia="Arial" w:cs="Arial"/>
          <w:color w:val="1A1A1A"/>
          <w:sz w:val="22"/>
          <w:szCs w:val="22"/>
        </w:rPr>
        <w:t>structured assessment under PROG-AUDIT-001.</w:t>
      </w:r>
    </w:p>
    <w:p>
      <w:pPr>
        <w:pStyle w:val="ListParagraph"/>
        <w:numPr>
          <w:ilvl w:val="0"/>
          <w:numId w:val="1"/>
        </w:numPr>
        <w:spacing w:lineRule="exact" w:line="280" w:before="40" w:after="40"/>
        <w:rPr/>
      </w:pPr>
      <w:r>
        <w:rPr>
          <w:rFonts w:eastAsia="Arial" w:cs="Arial"/>
          <w:b/>
          <w:bCs/>
          <w:color w:val="1A1A1A"/>
          <w:sz w:val="22"/>
          <w:szCs w:val="22"/>
        </w:rPr>
        <w:t xml:space="preserve">Management review: </w:t>
      </w:r>
      <w:r>
        <w:rPr>
          <w:rFonts w:eastAsia="Arial" w:cs="Arial"/>
          <w:color w:val="1A1A1A"/>
          <w:sz w:val="22"/>
          <w:szCs w:val="22"/>
        </w:rPr>
        <w:t>regular review of ISMS performance against objectives, risk, and incidents.</w:t>
      </w:r>
    </w:p>
    <w:p>
      <w:pPr>
        <w:pStyle w:val="Heading1"/>
        <w:spacing w:before="360" w:after="180"/>
        <w:rPr/>
      </w:pPr>
      <w:r>
        <w:rPr>
          <w:rFonts w:eastAsia="Arial" w:cs="Arial" w:ascii="Arial" w:hAnsi="Arial"/>
          <w:b/>
          <w:bCs/>
          <w:color w:val="0000FF"/>
          <w:sz w:val="36"/>
          <w:szCs w:val="36"/>
        </w:rPr>
        <w:t>8. The Schedule</w:t>
      </w:r>
    </w:p>
    <w:p>
      <w:pPr>
        <w:pStyle w:val="Normal"/>
        <w:pBdr>
          <w:bottom w:val="single" w:sz="12" w:space="1" w:color="0000FF"/>
        </w:pBdr>
        <w:spacing w:before="0" w:after="200"/>
        <w:rPr/>
      </w:pPr>
      <w:r>
        <w:rPr/>
      </w:r>
    </w:p>
    <w:p>
      <w:pPr>
        <w:pStyle w:val="Heading2"/>
        <w:spacing w:before="280" w:after="140"/>
        <w:rPr/>
      </w:pPr>
      <w:r>
        <w:rPr>
          <w:rFonts w:eastAsia="Arial" w:cs="Arial" w:ascii="Arial" w:hAnsi="Arial"/>
          <w:b/>
          <w:bCs/>
          <w:color w:val="0000FF"/>
          <w:sz w:val="28"/>
          <w:szCs w:val="28"/>
        </w:rPr>
        <w:t>8.1 Continuous Monitoring</w:t>
      </w:r>
    </w:p>
    <w:p>
      <w:pPr>
        <w:pStyle w:val="Normal"/>
        <w:spacing w:lineRule="exact" w:line="300" w:before="80" w:after="120"/>
        <w:rPr/>
      </w:pPr>
      <w:r>
        <w:rPr>
          <w:rFonts w:eastAsia="Arial" w:cs="Arial"/>
          <w:color w:val="1A1A1A"/>
          <w:sz w:val="22"/>
          <w:szCs w:val="22"/>
        </w:rPr>
        <w:t>These activities run continuously, supported by tooling and on-call coverage.</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2499"/>
        <w:gridCol w:w="3027"/>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ACTIVITY</w:t>
            </w:r>
          </w:p>
        </w:tc>
        <w:tc>
          <w:tcPr>
            <w:tcW w:w="24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OWNER</w:t>
            </w:r>
          </w:p>
        </w:tc>
        <w:tc>
          <w:tcPr>
            <w:tcW w:w="30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EVIDENCE</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Identity, MFA, and privileged access alerts</w:t>
            </w:r>
          </w:p>
        </w:tc>
        <w:tc>
          <w:tcPr>
            <w:tcW w:w="2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SIEM dashboard, alert tickets</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Cloud configuration drift and exposure detection</w:t>
            </w:r>
          </w:p>
        </w:tc>
        <w:tc>
          <w:tcPr>
            <w:tcW w:w="2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Chief Technology Officer</w:t>
            </w:r>
          </w:p>
        </w:tc>
        <w:tc>
          <w:tcPr>
            <w:tcW w:w="30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Tooling reports</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Vulnerability scanning of platform and dependencies</w:t>
            </w:r>
          </w:p>
        </w:tc>
        <w:tc>
          <w:tcPr>
            <w:tcW w:w="2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Chief Technology Officer</w:t>
            </w:r>
          </w:p>
        </w:tc>
        <w:tc>
          <w:tcPr>
            <w:tcW w:w="3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Vulnerability dashboards</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DLP events</w:t>
            </w:r>
          </w:p>
        </w:tc>
        <w:tc>
          <w:tcPr>
            <w:tcW w:w="2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DLP console</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Endpoint protection alerts</w:t>
            </w:r>
          </w:p>
        </w:tc>
        <w:tc>
          <w:tcPr>
            <w:tcW w:w="2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EDR console</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SaaS provider status pages</w:t>
            </w:r>
          </w:p>
        </w:tc>
        <w:tc>
          <w:tcPr>
            <w:tcW w:w="2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On-call</w:t>
            </w:r>
          </w:p>
        </w:tc>
        <w:tc>
          <w:tcPr>
            <w:tcW w:w="30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Status capture</w:t>
            </w:r>
          </w:p>
        </w:tc>
      </w:tr>
    </w:tbl>
    <w:p>
      <w:pPr>
        <w:pStyle w:val="Heading2"/>
        <w:spacing w:before="280" w:after="140"/>
        <w:rPr/>
      </w:pPr>
      <w:r>
        <w:rPr>
          <w:rFonts w:eastAsia="Arial" w:cs="Arial" w:ascii="Arial" w:hAnsi="Arial"/>
          <w:b/>
          <w:bCs/>
          <w:color w:val="0000FF"/>
          <w:sz w:val="28"/>
          <w:szCs w:val="28"/>
        </w:rPr>
        <w:t>8.2 Monthly Activities</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2499"/>
        <w:gridCol w:w="3027"/>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ACTIVITY</w:t>
            </w:r>
          </w:p>
        </w:tc>
        <w:tc>
          <w:tcPr>
            <w:tcW w:w="24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OWNER</w:t>
            </w:r>
          </w:p>
        </w:tc>
        <w:tc>
          <w:tcPr>
            <w:tcW w:w="30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EVIDENCE</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Review of open vulnerabilities against SLA (POL-014)</w:t>
            </w:r>
          </w:p>
        </w:tc>
        <w:tc>
          <w:tcPr>
            <w:tcW w:w="2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Vulnerability report</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Review of DLP and security alert trends</w:t>
            </w:r>
          </w:p>
        </w:tc>
        <w:tc>
          <w:tcPr>
            <w:tcW w:w="2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Monthly trend report</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Review of phishing simulation results (where in-month)</w:t>
            </w:r>
          </w:p>
        </w:tc>
        <w:tc>
          <w:tcPr>
            <w:tcW w:w="2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Simulation report</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Review of changes deployed to production (POL-025)</w:t>
            </w:r>
          </w:p>
        </w:tc>
        <w:tc>
          <w:tcPr>
            <w:tcW w:w="2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Chief Technology Officer</w:t>
            </w:r>
          </w:p>
        </w:tc>
        <w:tc>
          <w:tcPr>
            <w:tcW w:w="30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Change log</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Review of joiner/leaver activity (PRO-005)</w:t>
            </w:r>
          </w:p>
        </w:tc>
        <w:tc>
          <w:tcPr>
            <w:tcW w:w="2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JML log</w:t>
            </w:r>
          </w:p>
        </w:tc>
      </w:tr>
    </w:tbl>
    <w:p>
      <w:pPr>
        <w:pStyle w:val="Heading2"/>
        <w:spacing w:before="280" w:after="140"/>
        <w:rPr/>
      </w:pPr>
      <w:r>
        <w:rPr>
          <w:rFonts w:eastAsia="Arial" w:cs="Arial" w:ascii="Arial" w:hAnsi="Arial"/>
          <w:b/>
          <w:bCs/>
          <w:color w:val="0000FF"/>
          <w:sz w:val="28"/>
          <w:szCs w:val="28"/>
        </w:rPr>
        <w:t>8.3 Quarterly Activities</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2499"/>
        <w:gridCol w:w="3027"/>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ACTIVITY</w:t>
            </w:r>
          </w:p>
        </w:tc>
        <w:tc>
          <w:tcPr>
            <w:tcW w:w="24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OWNER</w:t>
            </w:r>
          </w:p>
        </w:tc>
        <w:tc>
          <w:tcPr>
            <w:tcW w:w="30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EVIDENCE</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Access reviews — production environments, source code, customer data</w:t>
            </w:r>
          </w:p>
        </w:tc>
        <w:tc>
          <w:tcPr>
            <w:tcW w:w="2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Chief Technology Officer</w:t>
            </w:r>
          </w:p>
        </w:tc>
        <w:tc>
          <w:tcPr>
            <w:tcW w:w="3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Reviewed access matrices</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Tier 1 supplier assurance review</w:t>
            </w:r>
          </w:p>
        </w:tc>
        <w:tc>
          <w:tcPr>
            <w:tcW w:w="2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Supplier review notes</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Critical / High risk reviews (ISMS-RTP-001)</w:t>
            </w:r>
          </w:p>
        </w:tc>
        <w:tc>
          <w:tcPr>
            <w:tcW w:w="2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Risk Register entries</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Compliance Monitoring summary to management review</w:t>
            </w:r>
          </w:p>
        </w:tc>
        <w:tc>
          <w:tcPr>
            <w:tcW w:w="2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Management Review Log</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Review of physical security at the Manchester shared workspace</w:t>
            </w:r>
          </w:p>
        </w:tc>
        <w:tc>
          <w:tcPr>
            <w:tcW w:w="2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Workspace review notes</w:t>
            </w:r>
          </w:p>
        </w:tc>
      </w:tr>
    </w:tbl>
    <w:p>
      <w:pPr>
        <w:pStyle w:val="Heading2"/>
        <w:spacing w:before="280" w:after="140"/>
        <w:rPr/>
      </w:pPr>
      <w:r>
        <w:rPr>
          <w:rFonts w:eastAsia="Arial" w:cs="Arial" w:ascii="Arial" w:hAnsi="Arial"/>
          <w:b/>
          <w:bCs/>
          <w:color w:val="0000FF"/>
          <w:sz w:val="28"/>
          <w:szCs w:val="28"/>
        </w:rPr>
        <w:t>8.4 Annual Activities</w:t>
      </w:r>
    </w:p>
    <w:p>
      <w:pPr>
        <w:pStyle w:val="Normal"/>
        <w:spacing w:before="60" w:after="60"/>
        <w:rPr/>
      </w:pPr>
      <w:r>
        <w:rPr/>
      </w:r>
    </w:p>
    <w:tbl>
      <w:tblPr>
        <w:tblW w:w="9026" w:type="dxa"/>
        <w:jc w:val="start"/>
        <w:tblInd w:w="0" w:type="dxa"/>
        <w:tblLayout w:type="fixed"/>
        <w:tblCellMar>
          <w:top w:w="100" w:type="dxa"/>
          <w:start w:w="140" w:type="dxa"/>
          <w:bottom w:w="100" w:type="dxa"/>
          <w:end w:w="140" w:type="dxa"/>
        </w:tblCellMar>
      </w:tblPr>
      <w:tblGrid>
        <w:gridCol w:w="3500"/>
        <w:gridCol w:w="2499"/>
        <w:gridCol w:w="3027"/>
      </w:tblGrid>
      <w:tr>
        <w:trPr>
          <w:tblHeader w:val="true"/>
        </w:trPr>
        <w:tc>
          <w:tcPr>
            <w:tcW w:w="3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ACTIVITY</w:t>
            </w:r>
          </w:p>
        </w:tc>
        <w:tc>
          <w:tcPr>
            <w:tcW w:w="24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OWNER</w:t>
            </w:r>
          </w:p>
        </w:tc>
        <w:tc>
          <w:tcPr>
            <w:tcW w:w="3027"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EVIDENCE</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Annual access review across all in-scope systems</w:t>
            </w:r>
          </w:p>
        </w:tc>
        <w:tc>
          <w:tcPr>
            <w:tcW w:w="2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Access review log</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Annual penetration test of the Cloudax platform</w:t>
            </w:r>
          </w:p>
        </w:tc>
        <w:tc>
          <w:tcPr>
            <w:tcW w:w="2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Chief Technology Officer</w:t>
            </w:r>
          </w:p>
        </w:tc>
        <w:tc>
          <w:tcPr>
            <w:tcW w:w="30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Penetration test report</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Backup restoration test (POL-018)</w:t>
            </w:r>
          </w:p>
        </w:tc>
        <w:tc>
          <w:tcPr>
            <w:tcW w:w="2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Chief Technology Officer</w:t>
            </w:r>
          </w:p>
        </w:tc>
        <w:tc>
          <w:tcPr>
            <w:tcW w:w="3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Restoration test record</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BCP / DRP exercise (PLAN-BCP-001 / PLAN-DRP-001)</w:t>
            </w:r>
          </w:p>
        </w:tc>
        <w:tc>
          <w:tcPr>
            <w:tcW w:w="2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Exercise report</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Incident response tabletop</w:t>
            </w:r>
          </w:p>
        </w:tc>
        <w:tc>
          <w:tcPr>
            <w:tcW w:w="2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Tabletop notes</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Risk assessment refresh (ISMS-RA-001)</w:t>
            </w:r>
          </w:p>
        </w:tc>
        <w:tc>
          <w:tcPr>
            <w:tcW w:w="2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Updated REG-RISK-001</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Tier 1 and Tier 2 supplier annual assurance refresh</w:t>
            </w:r>
          </w:p>
        </w:tc>
        <w:tc>
          <w:tcPr>
            <w:tcW w:w="2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Supplier evidence pack</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Internal audit cycle execution per PROG-AUDIT-001</w:t>
            </w:r>
          </w:p>
        </w:tc>
        <w:tc>
          <w:tcPr>
            <w:tcW w:w="2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Internal auditor</w:t>
            </w:r>
          </w:p>
        </w:tc>
        <w:tc>
          <w:tcPr>
            <w:tcW w:w="30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Audit report</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Annual policy review (POL-001 and all subordinate policies)</w:t>
            </w:r>
          </w:p>
        </w:tc>
        <w:tc>
          <w:tcPr>
            <w:tcW w:w="2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Policy review record</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Annual review of Statement of Applicability and re-issue if material changes</w:t>
            </w:r>
          </w:p>
        </w:tc>
        <w:tc>
          <w:tcPr>
            <w:tcW w:w="2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Updated ISMS-SOA-001</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Annual ROPA and DPIA Register refresh</w:t>
            </w:r>
          </w:p>
        </w:tc>
        <w:tc>
          <w:tcPr>
            <w:tcW w:w="2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Privacy Lead</w:t>
            </w:r>
          </w:p>
        </w:tc>
        <w:tc>
          <w:tcPr>
            <w:tcW w:w="3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Updated REG-ROPA-001 / REG-DPIA-001</w:t>
            </w:r>
          </w:p>
        </w:tc>
      </w:tr>
      <w:tr>
        <w:trPr/>
        <w:tc>
          <w:tcPr>
            <w:tcW w:w="3500"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Annual training programme delivery (PROG-TRAIN-001)</w:t>
            </w:r>
          </w:p>
        </w:tc>
        <w:tc>
          <w:tcPr>
            <w:tcW w:w="24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Information Security Manager</w:t>
            </w:r>
          </w:p>
        </w:tc>
        <w:tc>
          <w:tcPr>
            <w:tcW w:w="3027"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Training records</w:t>
            </w:r>
          </w:p>
        </w:tc>
      </w:tr>
      <w:tr>
        <w:trPr/>
        <w:tc>
          <w:tcPr>
            <w:tcW w:w="3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Annual management review (Clause 9.3)</w:t>
            </w:r>
          </w:p>
        </w:tc>
        <w:tc>
          <w:tcPr>
            <w:tcW w:w="24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CEO + Information Security Manager</w:t>
            </w:r>
          </w:p>
        </w:tc>
        <w:tc>
          <w:tcPr>
            <w:tcW w:w="3027"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MGT-MR-LOG entry</w:t>
            </w:r>
          </w:p>
        </w:tc>
      </w:tr>
    </w:tbl>
    <w:p>
      <w:pPr>
        <w:pStyle w:val="Heading1"/>
        <w:spacing w:before="360" w:after="180"/>
        <w:rPr/>
      </w:pPr>
      <w:r>
        <w:rPr>
          <w:rFonts w:eastAsia="Arial" w:cs="Arial" w:ascii="Arial" w:hAnsi="Arial"/>
          <w:b/>
          <w:bCs/>
          <w:color w:val="0000FF"/>
          <w:sz w:val="36"/>
          <w:szCs w:val="36"/>
        </w:rPr>
        <w:t>9. Recording Findings</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Findings are recorded with date, source, description, classification, owner, and target closure date.</w:t>
      </w:r>
    </w:p>
    <w:p>
      <w:pPr>
        <w:pStyle w:val="ListParagraph"/>
        <w:numPr>
          <w:ilvl w:val="0"/>
          <w:numId w:val="1"/>
        </w:numPr>
        <w:spacing w:lineRule="exact" w:line="280" w:before="40" w:after="40"/>
        <w:rPr/>
      </w:pPr>
      <w:r>
        <w:rPr>
          <w:rFonts w:eastAsia="Arial" w:cs="Arial"/>
          <w:color w:val="1A1A1A"/>
          <w:sz w:val="22"/>
          <w:szCs w:val="22"/>
        </w:rPr>
        <w:t>Findings are entered in REG-CAR-001 Corrective Actions Register where corrective action is required.</w:t>
      </w:r>
    </w:p>
    <w:p>
      <w:pPr>
        <w:pStyle w:val="ListParagraph"/>
        <w:numPr>
          <w:ilvl w:val="0"/>
          <w:numId w:val="1"/>
        </w:numPr>
        <w:spacing w:lineRule="exact" w:line="280" w:before="40" w:after="40"/>
        <w:rPr/>
      </w:pPr>
      <w:r>
        <w:rPr>
          <w:rFonts w:eastAsia="Arial" w:cs="Arial"/>
          <w:color w:val="1A1A1A"/>
          <w:sz w:val="22"/>
          <w:szCs w:val="22"/>
        </w:rPr>
        <w:t>Where the finding indicates a material risk, the Risk Register (REG-RISK-001) is updated.</w:t>
      </w:r>
    </w:p>
    <w:p>
      <w:pPr>
        <w:pStyle w:val="ListParagraph"/>
        <w:numPr>
          <w:ilvl w:val="0"/>
          <w:numId w:val="1"/>
        </w:numPr>
        <w:spacing w:lineRule="exact" w:line="280" w:before="40" w:after="40"/>
        <w:rPr/>
      </w:pPr>
      <w:r>
        <w:rPr>
          <w:rFonts w:eastAsia="Arial" w:cs="Arial"/>
          <w:color w:val="1A1A1A"/>
          <w:sz w:val="22"/>
          <w:szCs w:val="22"/>
        </w:rPr>
        <w:t>Where the finding indicates a personal data breach, PRO-024 Breach Notification Procedure is invoked.</w:t>
      </w:r>
    </w:p>
    <w:p>
      <w:pPr>
        <w:pStyle w:val="Heading1"/>
        <w:spacing w:before="360" w:after="180"/>
        <w:rPr/>
      </w:pPr>
      <w:r>
        <w:rPr>
          <w:rFonts w:eastAsia="Arial" w:cs="Arial" w:ascii="Arial" w:hAnsi="Arial"/>
          <w:b/>
          <w:bCs/>
          <w:color w:val="0000FF"/>
          <w:sz w:val="36"/>
          <w:szCs w:val="36"/>
        </w:rPr>
        <w:t>10. Escalation and Corrective Action</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Findings classified as material are escalated to the Information Security Manager within one business day.</w:t>
      </w:r>
    </w:p>
    <w:p>
      <w:pPr>
        <w:pStyle w:val="ListParagraph"/>
        <w:numPr>
          <w:ilvl w:val="0"/>
          <w:numId w:val="1"/>
        </w:numPr>
        <w:spacing w:lineRule="exact" w:line="280" w:before="40" w:after="40"/>
        <w:rPr/>
      </w:pPr>
      <w:r>
        <w:rPr>
          <w:rFonts w:eastAsia="Arial" w:cs="Arial"/>
          <w:color w:val="1A1A1A"/>
          <w:sz w:val="22"/>
          <w:szCs w:val="22"/>
        </w:rPr>
        <w:t>Critical findings (potential breach, active exploitation, regulator interest) are escalated to the Chief Executive Officer immediately.</w:t>
      </w:r>
    </w:p>
    <w:p>
      <w:pPr>
        <w:pStyle w:val="ListParagraph"/>
        <w:numPr>
          <w:ilvl w:val="0"/>
          <w:numId w:val="1"/>
        </w:numPr>
        <w:spacing w:lineRule="exact" w:line="280" w:before="40" w:after="40"/>
        <w:rPr/>
      </w:pPr>
      <w:r>
        <w:rPr>
          <w:rFonts w:eastAsia="Arial" w:cs="Arial"/>
          <w:color w:val="1A1A1A"/>
          <w:sz w:val="22"/>
          <w:szCs w:val="22"/>
        </w:rPr>
        <w:t>Corrective actions are tracked to closure under Cl. 10.1 / Cl. 10.2 in REG-CAR-001.</w:t>
      </w:r>
    </w:p>
    <w:p>
      <w:pPr>
        <w:pStyle w:val="Heading1"/>
        <w:spacing w:before="360" w:after="180"/>
        <w:rPr/>
      </w:pPr>
      <w:r>
        <w:rPr>
          <w:rFonts w:eastAsia="Arial" w:cs="Arial" w:ascii="Arial" w:hAnsi="Arial"/>
          <w:b/>
          <w:bCs/>
          <w:color w:val="0000FF"/>
          <w:sz w:val="36"/>
          <w:szCs w:val="36"/>
        </w:rPr>
        <w:t>11. Reporting</w:t>
      </w:r>
    </w:p>
    <w:p>
      <w:pPr>
        <w:pStyle w:val="Normal"/>
        <w:pBdr>
          <w:bottom w:val="single" w:sz="12" w:space="1" w:color="0000FF"/>
        </w:pBdr>
        <w:spacing w:before="0" w:after="200"/>
        <w:rPr/>
      </w:pPr>
      <w:r>
        <w:rPr/>
      </w:r>
    </w:p>
    <w:p>
      <w:pPr>
        <w:pStyle w:val="ListParagraph"/>
        <w:numPr>
          <w:ilvl w:val="0"/>
          <w:numId w:val="1"/>
        </w:numPr>
        <w:spacing w:lineRule="exact" w:line="280" w:before="40" w:after="40"/>
        <w:rPr/>
      </w:pPr>
      <w:r>
        <w:rPr>
          <w:rFonts w:eastAsia="Arial" w:cs="Arial"/>
          <w:color w:val="1A1A1A"/>
          <w:sz w:val="22"/>
          <w:szCs w:val="22"/>
        </w:rPr>
        <w:t>A consolidated compliance summary is reported to management review at least every six months.</w:t>
      </w:r>
    </w:p>
    <w:p>
      <w:pPr>
        <w:pStyle w:val="ListParagraph"/>
        <w:numPr>
          <w:ilvl w:val="0"/>
          <w:numId w:val="1"/>
        </w:numPr>
        <w:spacing w:lineRule="exact" w:line="280" w:before="40" w:after="40"/>
        <w:rPr/>
      </w:pPr>
      <w:r>
        <w:rPr>
          <w:rFonts w:eastAsia="Arial" w:cs="Arial"/>
          <w:color w:val="1A1A1A"/>
          <w:sz w:val="22"/>
          <w:szCs w:val="22"/>
        </w:rPr>
        <w:t>Significant findings are reported promptly between cycles.</w:t>
      </w:r>
    </w:p>
    <w:p>
      <w:pPr>
        <w:pStyle w:val="ListParagraph"/>
        <w:numPr>
          <w:ilvl w:val="0"/>
          <w:numId w:val="1"/>
        </w:numPr>
        <w:spacing w:lineRule="exact" w:line="280" w:before="40" w:after="40"/>
        <w:rPr/>
      </w:pPr>
      <w:r>
        <w:rPr>
          <w:rFonts w:eastAsia="Arial" w:cs="Arial"/>
          <w:color w:val="1A1A1A"/>
          <w:sz w:val="22"/>
          <w:szCs w:val="22"/>
        </w:rPr>
        <w:t>Trends are tracked over time as a leading indicator of ISMS health.</w:t>
      </w:r>
    </w:p>
    <w:p>
      <w:pPr>
        <w:pStyle w:val="Heading1"/>
        <w:spacing w:before="360" w:after="180"/>
        <w:rPr/>
      </w:pPr>
      <w:r>
        <w:rPr>
          <w:rFonts w:eastAsia="Arial" w:cs="Arial" w:ascii="Arial" w:hAnsi="Arial"/>
          <w:b/>
          <w:bCs/>
          <w:color w:val="0000FF"/>
          <w:sz w:val="36"/>
          <w:szCs w:val="36"/>
        </w:rPr>
        <w:t>12. Maintenance</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Schedule is reviewed at least annually and on material change to obligations or to the Cloudax operating model. Material changes are approved by the Chief Executive Officer and recorded in Annex B.</w:t>
      </w:r>
    </w:p>
    <w:p>
      <w:pPr>
        <w:pStyle w:val="Heading1"/>
        <w:spacing w:before="360" w:after="180"/>
        <w:rPr/>
      </w:pPr>
      <w:r>
        <w:rPr>
          <w:rFonts w:eastAsia="Arial" w:cs="Arial" w:ascii="Arial" w:hAnsi="Arial"/>
          <w:b/>
          <w:bCs/>
          <w:color w:val="0000FF"/>
          <w:sz w:val="36"/>
          <w:szCs w:val="36"/>
        </w:rPr>
        <w:t>13. Acknowledgement</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All personnel involved in compliance monitoring are required to acknowledge this Schedule on commencement, on material change, and on request.</w:t>
      </w:r>
    </w:p>
    <w:p>
      <w:pPr>
        <w:pStyle w:val="Normal"/>
        <w:spacing w:before="60" w:after="60"/>
        <w:rPr/>
      </w:pPr>
      <w:r>
        <w:rPr/>
      </w:r>
    </w:p>
    <w:tbl>
      <w:tblPr>
        <w:tblW w:w="9026" w:type="dxa"/>
        <w:jc w:val="start"/>
        <w:tblInd w:w="0" w:type="dxa"/>
        <w:tblLayout w:type="fixed"/>
        <w:tblCellMar>
          <w:top w:w="600" w:type="dxa"/>
          <w:start w:w="0" w:type="dxa"/>
          <w:bottom w:w="40" w:type="dxa"/>
          <w:end w:w="0" w:type="dxa"/>
        </w:tblCellMar>
      </w:tblPr>
      <w:tblGrid>
        <w:gridCol w:w="4513"/>
        <w:gridCol w:w="4512"/>
      </w:tblGrid>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NAME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SIGNATURE</w:t>
            </w:r>
          </w:p>
        </w:tc>
      </w:tr>
      <w:tr>
        <w:trPr/>
        <w:tc>
          <w:tcPr>
            <w:tcW w:w="4513" w:type="dxa"/>
            <w:tcBorders/>
          </w:tcPr>
          <w:p>
            <w:pPr>
              <w:pStyle w:val="Normal"/>
              <w:rPr/>
            </w:pPr>
            <w:r>
              <w:rPr/>
            </w:r>
          </w:p>
        </w:tc>
        <w:tc>
          <w:tcPr>
            <w:tcW w:w="4512" w:type="dxa"/>
            <w:tcBorders/>
          </w:tcPr>
          <w:p>
            <w:pPr>
              <w:pStyle w:val="Normal"/>
              <w:rPr/>
            </w:pPr>
            <w:r>
              <w:rPr/>
            </w:r>
          </w:p>
        </w:tc>
      </w:tr>
      <w:tr>
        <w:trPr/>
        <w:tc>
          <w:tcPr>
            <w:tcW w:w="4513"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ROLE</w:t>
            </w:r>
          </w:p>
        </w:tc>
        <w:tc>
          <w:tcPr>
            <w:tcW w:w="4512" w:type="dxa"/>
            <w:tcBorders>
              <w:top w:val="single" w:sz="4" w:space="0" w:color="1A1A1A"/>
            </w:tcBorders>
            <w:tcMar>
              <w:top w:w="300" w:type="dxa"/>
              <w:start w:w="200" w:type="dxa"/>
              <w:bottom w:w="300" w:type="dxa"/>
              <w:end w:w="200" w:type="dxa"/>
            </w:tcMar>
          </w:tcPr>
          <w:p>
            <w:pPr>
              <w:pStyle w:val="Normal"/>
              <w:rPr/>
            </w:pPr>
            <w:r>
              <w:rPr>
                <w:rFonts w:eastAsia="Arial" w:cs="Arial"/>
                <w:color w:val="1A1A1A"/>
                <w:spacing w:val="40"/>
                <w:sz w:val="20"/>
                <w:szCs w:val="20"/>
              </w:rPr>
              <w:t>DATE</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A — Annex A Controls Addressed</w:t>
      </w:r>
    </w:p>
    <w:p>
      <w:pPr>
        <w:pStyle w:val="Normal"/>
        <w:pBdr>
          <w:bottom w:val="single" w:sz="12" w:space="1" w:color="0000FF"/>
        </w:pBdr>
        <w:spacing w:before="0" w:after="200"/>
        <w:rPr/>
      </w:pPr>
      <w:r>
        <w:rPr/>
      </w:r>
    </w:p>
    <w:p>
      <w:pPr>
        <w:pStyle w:val="Normal"/>
        <w:spacing w:lineRule="exact" w:line="300" w:before="80" w:after="120"/>
        <w:rPr/>
      </w:pPr>
      <w:r>
        <w:rPr>
          <w:rFonts w:eastAsia="Arial" w:cs="Arial"/>
          <w:color w:val="1A1A1A"/>
          <w:sz w:val="22"/>
          <w:szCs w:val="22"/>
        </w:rPr>
        <w:t>This document gives effect to the following ISO/IEC 27001:2022 Annex A controls, as recorded in the Cloudax Statement of Applicability (ISMS-SOA-001 v4.0).</w:t>
      </w:r>
    </w:p>
    <w:tbl>
      <w:tblPr>
        <w:tblW w:w="9026" w:type="dxa"/>
        <w:jc w:val="start"/>
        <w:tblInd w:w="0" w:type="dxa"/>
        <w:tblLayout w:type="fixed"/>
        <w:tblCellMar>
          <w:top w:w="100" w:type="dxa"/>
          <w:start w:w="140" w:type="dxa"/>
          <w:bottom w:w="100" w:type="dxa"/>
          <w:end w:w="140" w:type="dxa"/>
        </w:tblCellMar>
      </w:tblPr>
      <w:tblGrid>
        <w:gridCol w:w="1699"/>
        <w:gridCol w:w="7326"/>
      </w:tblGrid>
      <w:tr>
        <w:trPr>
          <w:tblHeader w:val="true"/>
        </w:trPr>
        <w:tc>
          <w:tcPr>
            <w:tcW w:w="16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ANNEX A REF</w:t>
            </w:r>
          </w:p>
        </w:tc>
        <w:tc>
          <w:tcPr>
            <w:tcW w:w="7326"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6"/>
                <w:szCs w:val="16"/>
              </w:rPr>
              <w:t>CONTROL TITLE</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A.5.36</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Compliance with policies, rules and standards</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A.5.31</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Legal, statutory, regulatory and contractual requirements</w:t>
            </w:r>
          </w:p>
        </w:tc>
      </w:tr>
      <w:tr>
        <w:trPr/>
        <w:tc>
          <w:tcPr>
            <w:tcW w:w="16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bCs/>
                <w:color w:val="1A1A1A"/>
                <w:sz w:val="18"/>
                <w:szCs w:val="18"/>
              </w:rPr>
              <w:t>A.5.35</w:t>
            </w:r>
          </w:p>
        </w:tc>
        <w:tc>
          <w:tcPr>
            <w:tcW w:w="7326"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b w:val="false"/>
                <w:bCs w:val="false"/>
                <w:color w:val="1A1A1A"/>
                <w:sz w:val="18"/>
                <w:szCs w:val="18"/>
              </w:rPr>
              <w:t>Independent review of information security</w:t>
            </w:r>
          </w:p>
        </w:tc>
      </w:tr>
      <w:tr>
        <w:trPr/>
        <w:tc>
          <w:tcPr>
            <w:tcW w:w="1699"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bCs/>
                <w:color w:val="1A1A1A"/>
                <w:sz w:val="18"/>
                <w:szCs w:val="18"/>
              </w:rPr>
              <w:t>A.5.37</w:t>
            </w:r>
          </w:p>
        </w:tc>
        <w:tc>
          <w:tcPr>
            <w:tcW w:w="7326" w:type="dxa"/>
            <w:tcBorders>
              <w:top w:val="single" w:sz="4" w:space="0" w:color="E0E0E0"/>
              <w:start w:val="single" w:sz="4" w:space="0" w:color="E0E0E0"/>
              <w:bottom w:val="single" w:sz="4" w:space="0" w:color="E0E0E0"/>
              <w:end w:val="single" w:sz="4" w:space="0" w:color="E0E0E0"/>
            </w:tcBorders>
            <w:shd w:fill="FFFFFF" w:val="clear"/>
          </w:tcPr>
          <w:p>
            <w:pPr>
              <w:pStyle w:val="Normal"/>
              <w:rPr/>
            </w:pPr>
            <w:r>
              <w:rPr>
                <w:rFonts w:eastAsia="Arial" w:cs="Arial"/>
                <w:b w:val="false"/>
                <w:bCs w:val="false"/>
                <w:color w:val="1A1A1A"/>
                <w:sz w:val="18"/>
                <w:szCs w:val="18"/>
              </w:rPr>
              <w:t>Documented operating procedures</w:t>
            </w:r>
          </w:p>
        </w:tc>
      </w:tr>
    </w:tbl>
    <w:p>
      <w:pPr>
        <w:pStyle w:val="Normal"/>
        <w:rPr/>
      </w:pPr>
      <w:r>
        <w:rPr/>
      </w:r>
      <w:r>
        <w:br w:type="page"/>
      </w:r>
    </w:p>
    <w:p>
      <w:pPr>
        <w:pStyle w:val="Heading1"/>
        <w:spacing w:before="0" w:after="180"/>
        <w:rPr/>
      </w:pPr>
      <w:r>
        <w:rPr>
          <w:rFonts w:eastAsia="Arial" w:cs="Arial" w:ascii="Arial" w:hAnsi="Arial"/>
          <w:b/>
          <w:bCs/>
          <w:color w:val="0000FF"/>
          <w:sz w:val="36"/>
          <w:szCs w:val="36"/>
        </w:rPr>
        <w:t>Annex B — Version History</w:t>
      </w:r>
    </w:p>
    <w:p>
      <w:pPr>
        <w:pStyle w:val="Normal"/>
        <w:pBdr>
          <w:bottom w:val="single" w:sz="12" w:space="1" w:color="0000FF"/>
        </w:pBdr>
        <w:spacing w:before="0" w:after="200"/>
        <w:rPr/>
      </w:pPr>
      <w:r>
        <w:rPr/>
      </w:r>
    </w:p>
    <w:tbl>
      <w:tblPr>
        <w:tblW w:w="9026" w:type="dxa"/>
        <w:jc w:val="start"/>
        <w:tblInd w:w="0" w:type="dxa"/>
        <w:tblLayout w:type="fixed"/>
        <w:tblCellMar>
          <w:top w:w="120" w:type="dxa"/>
          <w:start w:w="160" w:type="dxa"/>
          <w:bottom w:w="120" w:type="dxa"/>
          <w:end w:w="160" w:type="dxa"/>
        </w:tblCellMar>
      </w:tblPr>
      <w:tblGrid>
        <w:gridCol w:w="1299"/>
        <w:gridCol w:w="1500"/>
        <w:gridCol w:w="2201"/>
        <w:gridCol w:w="4025"/>
      </w:tblGrid>
      <w:tr>
        <w:trPr>
          <w:tblHeader w:val="true"/>
        </w:trPr>
        <w:tc>
          <w:tcPr>
            <w:tcW w:w="1299"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VERSION</w:t>
            </w:r>
          </w:p>
        </w:tc>
        <w:tc>
          <w:tcPr>
            <w:tcW w:w="1500"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DATE</w:t>
            </w:r>
          </w:p>
        </w:tc>
        <w:tc>
          <w:tcPr>
            <w:tcW w:w="2201"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AUTHOR</w:t>
            </w:r>
          </w:p>
        </w:tc>
        <w:tc>
          <w:tcPr>
            <w:tcW w:w="4025" w:type="dxa"/>
            <w:tcBorders>
              <w:top w:val="single" w:sz="4" w:space="0" w:color="0000FF"/>
              <w:start w:val="single" w:sz="4" w:space="0" w:color="0000FF"/>
              <w:bottom w:val="single" w:sz="4" w:space="0" w:color="0000FF"/>
              <w:end w:val="single" w:sz="4" w:space="0" w:color="0000FF"/>
            </w:tcBorders>
            <w:shd w:fill="0000FF" w:val="clear"/>
          </w:tcPr>
          <w:p>
            <w:pPr>
              <w:pStyle w:val="Normal"/>
              <w:rPr/>
            </w:pPr>
            <w:r>
              <w:rPr>
                <w:rFonts w:eastAsia="Arial" w:cs="Arial"/>
                <w:b/>
                <w:bCs/>
                <w:color w:val="FFFFFF"/>
                <w:sz w:val="18"/>
                <w:szCs w:val="18"/>
              </w:rPr>
              <w:t>SUMMARY OF CHANGES</w:t>
            </w:r>
          </w:p>
        </w:tc>
      </w:tr>
      <w:tr>
        <w:trPr/>
        <w:tc>
          <w:tcPr>
            <w:tcW w:w="1299"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1.0</w:t>
            </w:r>
          </w:p>
        </w:tc>
        <w:tc>
          <w:tcPr>
            <w:tcW w:w="1500"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April 2026</w:t>
            </w:r>
          </w:p>
        </w:tc>
        <w:tc>
          <w:tcPr>
            <w:tcW w:w="2201"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Information Security Manager</w:t>
            </w:r>
          </w:p>
        </w:tc>
        <w:tc>
          <w:tcPr>
            <w:tcW w:w="4025" w:type="dxa"/>
            <w:tcBorders>
              <w:top w:val="single" w:sz="4" w:space="0" w:color="E0E0E0"/>
              <w:start w:val="single" w:sz="4" w:space="0" w:color="E0E0E0"/>
              <w:bottom w:val="single" w:sz="4" w:space="0" w:color="E0E0E0"/>
              <w:end w:val="single" w:sz="4" w:space="0" w:color="E0E0E0"/>
            </w:tcBorders>
            <w:shd w:fill="F0F2E5" w:val="clear"/>
          </w:tcPr>
          <w:p>
            <w:pPr>
              <w:pStyle w:val="Normal"/>
              <w:rPr/>
            </w:pPr>
            <w:r>
              <w:rPr>
                <w:rFonts w:eastAsia="Arial" w:cs="Arial"/>
                <w:color w:val="1A1A1A"/>
                <w:sz w:val="20"/>
                <w:szCs w:val="20"/>
              </w:rPr>
              <w:t>Initial issue. Aligned to ISO/IEC 27001:2022 and Cloudax Statement of Applicability v4.0.</w:t>
            </w:r>
          </w:p>
        </w:tc>
      </w:tr>
    </w:tbl>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Arial">
    <w:charset w:val="01"/>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PROG-COMP-001 Compliance Monitoring Schedule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4" w:color="0000FF"/>
      </w:pBdr>
      <w:tabs>
        <w:tab w:val="clear" w:pos="720"/>
        <w:tab w:val="center" w:pos="4513" w:leader="none"/>
        <w:tab w:val="right" w:pos="9026" w:leader="none"/>
      </w:tabs>
      <w:spacing w:before="0" w:after="0"/>
      <w:rPr/>
    </w:pPr>
    <w:r>
      <w:rPr>
        <w:rFonts w:eastAsia="Arial" w:cs="Arial"/>
        <w:color w:val="1A1A1A"/>
        <w:sz w:val="18"/>
        <w:szCs w:val="18"/>
      </w:rPr>
      <w:t xml:space="preserve">PROG-COMP-001 Compliance Monitoring Schedule  •  Internal  </w:t>
      <w:tab/>
      <w:t>v1.0  •  April 2026</w:t>
      <w:tab/>
      <w:t xml:space="preserve">Page </w:t>
    </w:r>
    <w:r>
      <w:rPr/>
      <w:fldChar w:fldCharType="begin"/>
    </w:r>
    <w:r>
      <w:rPr/>
      <w:instrText xml:space="preserve"> PAGE </w:instrText>
    </w:r>
    <w:r>
      <w:rPr/>
      <w:fldChar w:fldCharType="separate"/>
    </w:r>
    <w:r>
      <w:rPr/>
      <w:t>9</w:t>
    </w:r>
    <w:r>
      <w:rPr/>
      <w:fldChar w:fldCharType="end"/>
    </w:r>
    <w:r>
      <w:rPr>
        <w:rFonts w:eastAsia="Arial" w:cs="Arial"/>
        <w:color w:val="1A1A1A"/>
        <w:sz w:val="18"/>
        <w:szCs w:val="18"/>
      </w:rPr>
      <w:t xml:space="preserve"> of </w:t>
    </w:r>
    <w:r>
      <w:rPr/>
      <w:fldChar w:fldCharType="begin"/>
    </w:r>
    <w:r>
      <w:rPr/>
      <w:instrText xml:space="preserve"> NUMPAGES </w:instrText>
    </w:r>
    <w:r>
      <w:rPr/>
      <w:fldChar w:fldCharType="separate"/>
    </w:r>
    <w:r>
      <w:rPr/>
      <w:t>9</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0000FF"/>
      </w:pBdr>
      <w:spacing w:before="0" w:after="80"/>
      <w:jc w:val="end"/>
      <w:rPr/>
    </w:pPr>
    <w:r>
      <w:rPr/>
      <w:drawing>
        <wp:inline distT="0" distB="0" distL="0" distR="0">
          <wp:extent cx="857250" cy="171450"/>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1"/>
                  <a:stretch>
                    <a:fillRect/>
                  </a:stretch>
                </pic:blipFill>
                <pic:spPr bwMode="auto">
                  <a:xfrm>
                    <a:off x="0" y="0"/>
                    <a:ext cx="857250" cy="171450"/>
                  </a:xfrm>
                  <a:prstGeom prst="rect">
                    <a:avLst/>
                  </a:prstGeom>
                </pic:spPr>
              </pic:pic>
            </a:graphicData>
          </a:graphic>
        </wp:inline>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60"/>
      </w:pPr>
      <w:rPr>
        <w:rFonts w:ascii="Arial" w:hAnsi="Arial" w:cs="Arial" w:hint="default"/>
        <w:color w:val="0000FF"/>
      </w:rPr>
    </w:lvl>
    <w:lvl w:ilvl="1">
      <w:start w:val="1"/>
      <w:numFmt w:val="bullet"/>
      <w:lvlText w:val="◦"/>
      <w:lvlJc w:val="start"/>
      <w:pPr>
        <w:tabs>
          <w:tab w:val="num" w:pos="0"/>
        </w:tabs>
        <w:ind w:start="1080" w:hanging="260"/>
      </w:pPr>
      <w:rPr>
        <w:rFonts w:ascii="Arial" w:hAnsi="Arial" w:cs="Arial" w:hint="default"/>
        <w:color w:val="0000FF"/>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A1A1A"/>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Heading1">
    <w:name w:val="Heading 1"/>
    <w:basedOn w:val="Heading"/>
    <w:qFormat/>
    <w:pPr>
      <w:spacing w:before="360" w:after="180"/>
      <w:outlineLvl w:val="0"/>
    </w:pPr>
    <w:rPr>
      <w:rFonts w:ascii="Arial" w:hAnsi="Arial" w:eastAsia="Arial" w:cs="Arial"/>
      <w:b/>
      <w:bCs/>
      <w:color w:val="0000FF"/>
      <w:sz w:val="36"/>
      <w:szCs w:val="36"/>
    </w:rPr>
  </w:style>
  <w:style w:type="paragraph" w:styleId="Heading2">
    <w:name w:val="Heading 2"/>
    <w:basedOn w:val="Heading"/>
    <w:qFormat/>
    <w:pPr>
      <w:spacing w:before="280" w:after="140"/>
      <w:outlineLvl w:val="1"/>
    </w:pPr>
    <w:rPr>
      <w:rFonts w:ascii="Arial" w:hAnsi="Arial" w:eastAsia="Arial" w:cs="Arial"/>
      <w:b/>
      <w:bCs/>
      <w:color w:val="0000FF"/>
      <w:sz w:val="28"/>
      <w:szCs w:val="28"/>
    </w:rPr>
  </w:style>
  <w:style w:type="paragraph" w:styleId="Heading3">
    <w:name w:val="Heading 3"/>
    <w:basedOn w:val="Heading"/>
    <w:qFormat/>
    <w:pPr>
      <w:spacing w:before="200" w:after="100"/>
      <w:outlineLvl w:val="2"/>
    </w:pPr>
    <w:rPr>
      <w:rFonts w:ascii="Arial" w:hAnsi="Arial" w:eastAsia="Arial" w:cs="Arial"/>
      <w:b/>
      <w:bCs/>
      <w:color w:val="1A1A1A"/>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1A1A1A"/>
      <w:kern w:val="0"/>
      <w:sz w:val="22"/>
      <w:szCs w:val="22"/>
      <w:lang w:val="en-US" w:eastAsia="zh-CN" w:bidi="hi-IN"/>
    </w:rPr>
  </w:style>
  <w:style w:type="paragraph" w:styleId="ListParagraph">
    <w:name w:val="List Paragraph"/>
    <w:qFormat/>
    <w:pPr>
      <w:widowControl/>
      <w:bidi w:val="0"/>
      <w:spacing w:before="0" w:after="0"/>
      <w:jc w:val="start"/>
    </w:pPr>
    <w:rPr>
      <w:rFonts w:ascii="Arial" w:hAnsi="Arial" w:eastAsia="Arial" w:cs="Arial"/>
      <w:color w:val="1A1A1A"/>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a:themeElements>
    <a:clrScheme nam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Microsoft Office Word</Application>
  <AppVersion>16.0000</AppVersion>
  <Company>Cloudax Ltd.</Company>
  <DocSecurity>0</DocSecurity>
  <ScaleCrop>false</ScaleCrop>
  <LinksUpToDate>false</LinksUpToDate>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2026-04-30T15:16:32Z</dcterms:created>
  <dc:creator>David Stokes</dc:creator>
  <dc:description/>
  <dc:language>en-US</dc:language>
  <cp:lastModifiedBy>David Stokes</cp:lastModifiedBy>
  <dcterms:modified xsi:type="dcterms:W3CDTF">2026-04-30T17:45:32Z</dcterms:modified>
  <cp:revision>1</cp:revision>
  <dc:subject/>
  <dc:title>Cloudax Compliance Monitoring Schedule</dc:title>
</cp:coreProperties>
</file>

<file path=docProps/custom.xml><?xml version="1.0" encoding="utf-8"?>
<Properties xmlns="http://schemas.openxmlformats.org/officeDocument/2006/custom-properties" xmlns:vt="http://schemas.openxmlformats.org/officeDocument/2006/docPropsVTypes"/>
</file>