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Acceptable Use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POL-003</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Acceptable Use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 of Acceptable Use</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General Acceptable Use</w:t>
      </w:r>
    </w:p>
    <w:p>
      <w:pPr>
        <w:pStyle w:val="Normal"/>
        <w:spacing w:before="40" w:after="40"/>
        <w:rPr/>
      </w:pPr>
      <w:r>
        <w:rPr>
          <w:rFonts w:eastAsia="Arial" w:cs="Arial"/>
          <w:color w:val="1A1A1A"/>
          <w:sz w:val="22"/>
          <w:szCs w:val="22"/>
        </w:rPr>
        <w:t>7. Account, Password, and Authentication Use</w:t>
      </w:r>
    </w:p>
    <w:p>
      <w:pPr>
        <w:pStyle w:val="Normal"/>
        <w:spacing w:before="40" w:after="40"/>
        <w:rPr/>
      </w:pPr>
      <w:r>
        <w:rPr>
          <w:rFonts w:eastAsia="Arial" w:cs="Arial"/>
          <w:color w:val="1A1A1A"/>
          <w:sz w:val="22"/>
          <w:szCs w:val="22"/>
        </w:rPr>
        <w:t>8. Endpoint and Mobile Device Use</w:t>
      </w:r>
    </w:p>
    <w:p>
      <w:pPr>
        <w:pStyle w:val="Normal"/>
        <w:spacing w:before="40" w:after="40"/>
        <w:rPr/>
      </w:pPr>
      <w:r>
        <w:rPr>
          <w:rFonts w:eastAsia="Arial" w:cs="Arial"/>
          <w:color w:val="1A1A1A"/>
          <w:sz w:val="22"/>
          <w:szCs w:val="22"/>
        </w:rPr>
        <w:t>9. Use of Cloudax Facilities and the Shared Manchester Workspace</w:t>
      </w:r>
    </w:p>
    <w:p>
      <w:pPr>
        <w:pStyle w:val="Normal"/>
        <w:spacing w:before="40" w:after="40"/>
        <w:rPr/>
      </w:pPr>
      <w:r>
        <w:rPr>
          <w:rFonts w:eastAsia="Arial" w:cs="Arial"/>
          <w:color w:val="1A1A1A"/>
          <w:sz w:val="22"/>
          <w:szCs w:val="22"/>
        </w:rPr>
        <w:t>10. Remote, Hybrid, and Travel Working</w:t>
      </w:r>
    </w:p>
    <w:p>
      <w:pPr>
        <w:pStyle w:val="Normal"/>
        <w:spacing w:before="40" w:after="40"/>
        <w:rPr/>
      </w:pPr>
      <w:r>
        <w:rPr>
          <w:rFonts w:eastAsia="Arial" w:cs="Arial"/>
          <w:color w:val="1A1A1A"/>
          <w:sz w:val="22"/>
          <w:szCs w:val="22"/>
        </w:rPr>
        <w:t>11. Communications, Email, and Messaging</w:t>
      </w:r>
    </w:p>
    <w:p>
      <w:pPr>
        <w:pStyle w:val="Normal"/>
        <w:spacing w:before="40" w:after="40"/>
        <w:rPr/>
      </w:pPr>
      <w:r>
        <w:rPr>
          <w:rFonts w:eastAsia="Arial" w:cs="Arial"/>
          <w:color w:val="1A1A1A"/>
          <w:sz w:val="22"/>
          <w:szCs w:val="22"/>
        </w:rPr>
        <w:t>12. Use of AI Services and Generative AI Tools</w:t>
      </w:r>
    </w:p>
    <w:p>
      <w:pPr>
        <w:pStyle w:val="Normal"/>
        <w:spacing w:before="40" w:after="40"/>
        <w:rPr/>
      </w:pPr>
      <w:r>
        <w:rPr>
          <w:rFonts w:eastAsia="Arial" w:cs="Arial"/>
          <w:color w:val="1A1A1A"/>
          <w:sz w:val="22"/>
          <w:szCs w:val="22"/>
        </w:rPr>
        <w:t>13. Social Media and External Representation</w:t>
      </w:r>
    </w:p>
    <w:p>
      <w:pPr>
        <w:pStyle w:val="Normal"/>
        <w:spacing w:before="40" w:after="40"/>
        <w:rPr/>
      </w:pPr>
      <w:r>
        <w:rPr>
          <w:rFonts w:eastAsia="Arial" w:cs="Arial"/>
          <w:color w:val="1A1A1A"/>
          <w:sz w:val="22"/>
          <w:szCs w:val="22"/>
        </w:rPr>
        <w:t>14. Reporting Information Security Events</w:t>
      </w:r>
    </w:p>
    <w:p>
      <w:pPr>
        <w:pStyle w:val="Normal"/>
        <w:spacing w:before="40" w:after="40"/>
        <w:rPr/>
      </w:pPr>
      <w:r>
        <w:rPr>
          <w:rFonts w:eastAsia="Arial" w:cs="Arial"/>
          <w:color w:val="1A1A1A"/>
          <w:sz w:val="22"/>
          <w:szCs w:val="22"/>
        </w:rPr>
        <w:t>15. Monitoring and Privacy</w:t>
      </w:r>
    </w:p>
    <w:p>
      <w:pPr>
        <w:pStyle w:val="Normal"/>
        <w:spacing w:before="40" w:after="40"/>
        <w:rPr/>
      </w:pPr>
      <w:r>
        <w:rPr>
          <w:rFonts w:eastAsia="Arial" w:cs="Arial"/>
          <w:color w:val="1A1A1A"/>
          <w:sz w:val="22"/>
          <w:szCs w:val="22"/>
        </w:rPr>
        <w:t>16. Policy Breaches</w:t>
      </w:r>
    </w:p>
    <w:p>
      <w:pPr>
        <w:pStyle w:val="Normal"/>
        <w:spacing w:before="40" w:after="40"/>
        <w:rPr/>
      </w:pPr>
      <w:r>
        <w:rPr>
          <w:rFonts w:eastAsia="Arial" w:cs="Arial"/>
          <w:color w:val="1A1A1A"/>
          <w:sz w:val="22"/>
          <w:szCs w:val="22"/>
        </w:rPr>
        <w:t>17. Review and Maintenance</w:t>
      </w:r>
    </w:p>
    <w:p>
      <w:pPr>
        <w:pStyle w:val="Normal"/>
        <w:spacing w:before="40" w:after="40"/>
        <w:rPr/>
      </w:pPr>
      <w:r>
        <w:rPr>
          <w:rFonts w:eastAsia="Arial" w:cs="Arial"/>
          <w:color w:val="1A1A1A"/>
          <w:sz w:val="22"/>
          <w:szCs w:val="22"/>
        </w:rPr>
        <w:t>18.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Acceptable Use Policy defines how Cloudax Ltd. (“Cloudax”) personnel and authorised third parties are expected to use the Company’s information, devices, networks, and services.</w:t>
      </w:r>
    </w:p>
    <w:p>
      <w:pPr>
        <w:pStyle w:val="Normal"/>
        <w:spacing w:lineRule="exact" w:line="300" w:before="80" w:after="120"/>
        <w:rPr/>
      </w:pPr>
      <w:r>
        <w:rPr>
          <w:rFonts w:eastAsia="Arial" w:cs="Arial"/>
          <w:color w:val="1A1A1A"/>
          <w:sz w:val="22"/>
          <w:szCs w:val="22"/>
        </w:rPr>
        <w:t>It supports the Information Security Policy (POL-001) and gives effect to A.5.10 of ISO/IEC 27001:2022 — Acceptable use of information and other associated assets.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A.5.10</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w:t>
      </w:r>
    </w:p>
    <w:p>
      <w:pPr>
        <w:pStyle w:val="ListParagraph"/>
        <w:numPr>
          <w:ilvl w:val="0"/>
          <w:numId w:val="3"/>
        </w:numPr>
        <w:spacing w:lineRule="exact" w:line="280" w:before="40" w:after="40"/>
        <w:rPr/>
      </w:pPr>
      <w:r>
        <w:rPr>
          <w:rFonts w:eastAsia="Arial" w:cs="Arial"/>
          <w:color w:val="1A1A1A"/>
          <w:sz w:val="22"/>
          <w:szCs w:val="22"/>
        </w:rPr>
        <w:t>All directors, officers, and permanent or temporary employees of Cloudax (currently a team of six employees based in Manchester).</w:t>
      </w:r>
    </w:p>
    <w:p>
      <w:pPr>
        <w:pStyle w:val="ListParagraph"/>
        <w:numPr>
          <w:ilvl w:val="0"/>
          <w:numId w:val="1"/>
        </w:numPr>
        <w:spacing w:lineRule="exact" w:line="280" w:before="40" w:after="40"/>
        <w:rPr/>
      </w:pPr>
      <w:r>
        <w:rPr>
          <w:rFonts w:eastAsia="Arial" w:cs="Arial"/>
          <w:color w:val="1A1A1A"/>
          <w:sz w:val="22"/>
          <w:szCs w:val="22"/>
        </w:rPr>
        <w:t>All contractors, consultants, interns, apprentices, and agency workers engaged by or on behalf of Cloudax.</w:t>
      </w:r>
    </w:p>
    <w:p>
      <w:pPr>
        <w:pStyle w:val="ListParagraph"/>
        <w:numPr>
          <w:ilvl w:val="0"/>
          <w:numId w:val="1"/>
        </w:numPr>
        <w:spacing w:lineRule="exact" w:line="280" w:before="40" w:after="40"/>
        <w:rPr/>
      </w:pPr>
      <w:r>
        <w:rPr>
          <w:rFonts w:eastAsia="Arial" w:cs="Arial"/>
          <w:color w:val="1A1A1A"/>
          <w:sz w:val="22"/>
          <w:szCs w:val="22"/>
        </w:rPr>
        <w:t>All suppliers, partners, and other third parties accessing Cloudax information or facilities.</w:t>
      </w:r>
    </w:p>
    <w:p>
      <w:pPr>
        <w:pStyle w:val="ListParagraph"/>
        <w:numPr>
          <w:ilvl w:val="0"/>
          <w:numId w:val="1"/>
        </w:numPr>
        <w:spacing w:lineRule="exact" w:line="280" w:before="40" w:after="40"/>
        <w:rPr/>
      </w:pPr>
      <w:r>
        <w:rPr>
          <w:rFonts w:eastAsia="Arial" w:cs="Arial"/>
          <w:color w:val="1A1A1A"/>
          <w:sz w:val="22"/>
          <w:szCs w:val="22"/>
        </w:rPr>
        <w:t>All visitors to Cloudax facilities.</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Terms used in this Policy have the meanings given in the Information Security Policy (POL-001) and the Cloudax ISMS glossary.</w:t>
      </w:r>
    </w:p>
    <w:p>
      <w:pPr>
        <w:pStyle w:val="Heading1"/>
        <w:spacing w:before="360" w:after="180"/>
        <w:rPr/>
      </w:pPr>
      <w:r>
        <w:rPr>
          <w:rFonts w:eastAsia="Arial" w:cs="Arial" w:ascii="Arial" w:hAnsi="Arial"/>
          <w:b/>
          <w:bCs/>
          <w:color w:val="0000FF"/>
          <w:sz w:val="36"/>
          <w:szCs w:val="36"/>
        </w:rPr>
        <w:t>4. Principles of Acceptable Use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Think before you act. </w:t>
      </w:r>
      <w:r>
        <w:rPr>
          <w:rFonts w:eastAsia="Arial" w:cs="Arial"/>
          <w:color w:val="1A1A1A"/>
          <w:sz w:val="22"/>
          <w:szCs w:val="22"/>
        </w:rPr>
        <w:t>If something feels off, it probably is.</w:t>
      </w:r>
    </w:p>
    <w:p>
      <w:pPr>
        <w:pStyle w:val="ListParagraph"/>
        <w:numPr>
          <w:ilvl w:val="0"/>
          <w:numId w:val="1"/>
        </w:numPr>
        <w:spacing w:lineRule="exact" w:line="280" w:before="40" w:after="40"/>
        <w:rPr/>
      </w:pPr>
      <w:r>
        <w:rPr>
          <w:rFonts w:eastAsia="Arial" w:cs="Arial"/>
          <w:b/>
          <w:bCs/>
          <w:color w:val="1A1A1A"/>
          <w:sz w:val="22"/>
          <w:szCs w:val="22"/>
        </w:rPr>
        <w:t xml:space="preserve">Protect customer and colleague data like it’s your own. </w:t>
      </w:r>
      <w:r>
        <w:rPr>
          <w:rFonts w:eastAsia="Arial" w:cs="Arial"/>
          <w:color w:val="1A1A1A"/>
          <w:sz w:val="22"/>
          <w:szCs w:val="22"/>
        </w:rPr>
        <w:t>That’s what our customers pay us for.</w:t>
      </w:r>
    </w:p>
    <w:p>
      <w:pPr>
        <w:pStyle w:val="ListParagraph"/>
        <w:numPr>
          <w:ilvl w:val="0"/>
          <w:numId w:val="1"/>
        </w:numPr>
        <w:spacing w:lineRule="exact" w:line="280" w:before="40" w:after="40"/>
        <w:rPr/>
      </w:pPr>
      <w:r>
        <w:rPr>
          <w:rFonts w:eastAsia="Arial" w:cs="Arial"/>
          <w:b/>
          <w:bCs/>
          <w:color w:val="1A1A1A"/>
          <w:sz w:val="22"/>
          <w:szCs w:val="22"/>
        </w:rPr>
        <w:t xml:space="preserve">Use Cloudax systems for work, with reasonable personal use. </w:t>
      </w:r>
      <w:r>
        <w:rPr>
          <w:rFonts w:eastAsia="Arial" w:cs="Arial"/>
          <w:color w:val="1A1A1A"/>
          <w:sz w:val="22"/>
          <w:szCs w:val="22"/>
        </w:rPr>
        <w:t>Don’t breach this Policy or any other Cloudax policy.</w:t>
      </w:r>
    </w:p>
    <w:p>
      <w:pPr>
        <w:pStyle w:val="ListParagraph"/>
        <w:numPr>
          <w:ilvl w:val="0"/>
          <w:numId w:val="1"/>
        </w:numPr>
        <w:spacing w:lineRule="exact" w:line="280" w:before="40" w:after="40"/>
        <w:rPr/>
      </w:pPr>
      <w:r>
        <w:rPr>
          <w:rFonts w:eastAsia="Arial" w:cs="Arial"/>
          <w:b/>
          <w:bCs/>
          <w:color w:val="1A1A1A"/>
          <w:sz w:val="22"/>
          <w:szCs w:val="22"/>
        </w:rPr>
        <w:t xml:space="preserve">Speak up early. </w:t>
      </w:r>
      <w:r>
        <w:rPr>
          <w:rFonts w:eastAsia="Arial" w:cs="Arial"/>
          <w:color w:val="1A1A1A"/>
          <w:sz w:val="22"/>
          <w:szCs w:val="22"/>
        </w:rPr>
        <w:t>Reporting a mistake quickly is always better than hiding one.</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Security Manager: owns this Policy and monitors compliance.</w:t>
      </w:r>
    </w:p>
    <w:p>
      <w:pPr>
        <w:pStyle w:val="ListParagraph"/>
        <w:numPr>
          <w:ilvl w:val="0"/>
          <w:numId w:val="1"/>
        </w:numPr>
        <w:spacing w:lineRule="exact" w:line="280" w:before="40" w:after="40"/>
        <w:rPr/>
      </w:pPr>
      <w:r>
        <w:rPr>
          <w:rFonts w:eastAsia="Arial" w:cs="Arial"/>
          <w:color w:val="1A1A1A"/>
          <w:sz w:val="22"/>
          <w:szCs w:val="22"/>
        </w:rPr>
        <w:t>Line managers: ensure team awareness and address breaches.</w:t>
      </w:r>
    </w:p>
    <w:p>
      <w:pPr>
        <w:pStyle w:val="ListParagraph"/>
        <w:numPr>
          <w:ilvl w:val="0"/>
          <w:numId w:val="1"/>
        </w:numPr>
        <w:spacing w:lineRule="exact" w:line="280" w:before="40" w:after="40"/>
        <w:rPr/>
      </w:pPr>
      <w:r>
        <w:rPr>
          <w:rFonts w:eastAsia="Arial" w:cs="Arial"/>
          <w:color w:val="1A1A1A"/>
          <w:sz w:val="22"/>
          <w:szCs w:val="22"/>
        </w:rPr>
        <w:t>All personnel: read, understand, and comply with this Policy; report incidents and concerns.</w:t>
      </w:r>
    </w:p>
    <w:p>
      <w:pPr>
        <w:pStyle w:val="Heading1"/>
        <w:spacing w:before="360" w:after="180"/>
        <w:rPr/>
      </w:pPr>
      <w:r>
        <w:rPr>
          <w:rFonts w:eastAsia="Arial" w:cs="Arial" w:ascii="Arial" w:hAnsi="Arial"/>
          <w:b/>
          <w:bCs/>
          <w:color w:val="0000FF"/>
          <w:sz w:val="36"/>
          <w:szCs w:val="36"/>
        </w:rPr>
        <w:t>6. General Acceptable Use</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6.1 Permitted use</w:t>
      </w:r>
    </w:p>
    <w:p>
      <w:pPr>
        <w:pStyle w:val="Normal"/>
        <w:spacing w:lineRule="exact" w:line="300" w:before="80" w:after="120"/>
        <w:rPr/>
      </w:pPr>
      <w:r>
        <w:rPr>
          <w:rFonts w:eastAsia="Arial" w:cs="Arial"/>
          <w:color w:val="1A1A1A"/>
          <w:sz w:val="22"/>
          <w:szCs w:val="22"/>
        </w:rPr>
        <w:t>Cloudax devices, accounts, and networks are provided for legitimate business purposes. Limited reasonable personal use is permitted provided it does not interfere with work, incur material cost, breach any Cloudax policy, or expose Cloudax to legal, reputational, or security risk.</w:t>
      </w:r>
    </w:p>
    <w:p>
      <w:pPr>
        <w:pStyle w:val="Heading2"/>
        <w:spacing w:before="280" w:after="140"/>
        <w:rPr/>
      </w:pPr>
      <w:r>
        <w:rPr>
          <w:rFonts w:eastAsia="Arial" w:cs="Arial" w:ascii="Arial" w:hAnsi="Arial"/>
          <w:b/>
          <w:bCs/>
          <w:color w:val="0000FF"/>
          <w:sz w:val="28"/>
          <w:szCs w:val="28"/>
        </w:rPr>
        <w:t>6.2 Prohibited use</w:t>
      </w:r>
    </w:p>
    <w:p>
      <w:pPr>
        <w:pStyle w:val="Normal"/>
        <w:spacing w:lineRule="exact" w:line="300" w:before="80" w:after="120"/>
        <w:rPr/>
      </w:pPr>
      <w:r>
        <w:rPr>
          <w:rFonts w:eastAsia="Arial" w:cs="Arial"/>
          <w:color w:val="1A1A1A"/>
          <w:sz w:val="22"/>
          <w:szCs w:val="22"/>
        </w:rPr>
        <w:t>Cloudax systems must not be used for any activity that:</w:t>
      </w:r>
    </w:p>
    <w:p>
      <w:pPr>
        <w:pStyle w:val="ListParagraph"/>
        <w:numPr>
          <w:ilvl w:val="0"/>
          <w:numId w:val="1"/>
        </w:numPr>
        <w:spacing w:lineRule="exact" w:line="280" w:before="40" w:after="40"/>
        <w:rPr/>
      </w:pPr>
      <w:r>
        <w:rPr>
          <w:rFonts w:eastAsia="Arial" w:cs="Arial"/>
          <w:color w:val="1A1A1A"/>
          <w:sz w:val="22"/>
          <w:szCs w:val="22"/>
        </w:rPr>
        <w:t>Is illegal, obscene, discriminatory, harassing, defamatory, or otherwise offensive.</w:t>
      </w:r>
    </w:p>
    <w:p>
      <w:pPr>
        <w:pStyle w:val="ListParagraph"/>
        <w:numPr>
          <w:ilvl w:val="0"/>
          <w:numId w:val="1"/>
        </w:numPr>
        <w:spacing w:lineRule="exact" w:line="280" w:before="40" w:after="40"/>
        <w:rPr/>
      </w:pPr>
      <w:r>
        <w:rPr>
          <w:rFonts w:eastAsia="Arial" w:cs="Arial"/>
          <w:color w:val="1A1A1A"/>
          <w:sz w:val="22"/>
          <w:szCs w:val="22"/>
        </w:rPr>
        <w:t>Infringes intellectual property rights (see POL-008 IP and Software Licence Policy).</w:t>
      </w:r>
    </w:p>
    <w:p>
      <w:pPr>
        <w:pStyle w:val="ListParagraph"/>
        <w:numPr>
          <w:ilvl w:val="0"/>
          <w:numId w:val="1"/>
        </w:numPr>
        <w:spacing w:lineRule="exact" w:line="280" w:before="40" w:after="40"/>
        <w:rPr/>
      </w:pPr>
      <w:r>
        <w:rPr>
          <w:rFonts w:eastAsia="Arial" w:cs="Arial"/>
          <w:color w:val="1A1A1A"/>
          <w:sz w:val="22"/>
          <w:szCs w:val="22"/>
        </w:rPr>
        <w:t>Breaches the Computer Misuse Act 1990, UK GDPR, Data Protection Act 2018, or any other applicable law.</w:t>
      </w:r>
    </w:p>
    <w:p>
      <w:pPr>
        <w:pStyle w:val="ListParagraph"/>
        <w:numPr>
          <w:ilvl w:val="0"/>
          <w:numId w:val="1"/>
        </w:numPr>
        <w:spacing w:lineRule="exact" w:line="280" w:before="40" w:after="40"/>
        <w:rPr/>
      </w:pPr>
      <w:r>
        <w:rPr>
          <w:rFonts w:eastAsia="Arial" w:cs="Arial"/>
          <w:color w:val="1A1A1A"/>
          <w:sz w:val="22"/>
          <w:szCs w:val="22"/>
        </w:rPr>
        <w:t>Attempts to gain unauthorised access to any system or data.</w:t>
      </w:r>
    </w:p>
    <w:p>
      <w:pPr>
        <w:pStyle w:val="ListParagraph"/>
        <w:numPr>
          <w:ilvl w:val="0"/>
          <w:numId w:val="1"/>
        </w:numPr>
        <w:spacing w:lineRule="exact" w:line="280" w:before="40" w:after="40"/>
        <w:rPr/>
      </w:pPr>
      <w:r>
        <w:rPr>
          <w:rFonts w:eastAsia="Arial" w:cs="Arial"/>
          <w:color w:val="1A1A1A"/>
          <w:sz w:val="22"/>
          <w:szCs w:val="22"/>
        </w:rPr>
        <w:t>Bypasses, disables, or tampers with any security control.</w:t>
      </w:r>
    </w:p>
    <w:p>
      <w:pPr>
        <w:pStyle w:val="ListParagraph"/>
        <w:numPr>
          <w:ilvl w:val="0"/>
          <w:numId w:val="1"/>
        </w:numPr>
        <w:spacing w:lineRule="exact" w:line="280" w:before="40" w:after="40"/>
        <w:rPr/>
      </w:pPr>
      <w:r>
        <w:rPr>
          <w:rFonts w:eastAsia="Arial" w:cs="Arial"/>
          <w:color w:val="1A1A1A"/>
          <w:sz w:val="22"/>
          <w:szCs w:val="22"/>
        </w:rPr>
        <w:t>Runs personal businesses or political campaigns.</w:t>
      </w:r>
    </w:p>
    <w:p>
      <w:pPr>
        <w:pStyle w:val="ListParagraph"/>
        <w:numPr>
          <w:ilvl w:val="0"/>
          <w:numId w:val="1"/>
        </w:numPr>
        <w:spacing w:lineRule="exact" w:line="280" w:before="40" w:after="40"/>
        <w:rPr/>
      </w:pPr>
      <w:r>
        <w:rPr>
          <w:rFonts w:eastAsia="Arial" w:cs="Arial"/>
          <w:color w:val="1A1A1A"/>
          <w:sz w:val="22"/>
          <w:szCs w:val="22"/>
        </w:rPr>
        <w:t>Could harm Cloudax’s reputation, customers, or partners.</w:t>
      </w:r>
    </w:p>
    <w:p>
      <w:pPr>
        <w:pStyle w:val="Heading1"/>
        <w:spacing w:before="360" w:after="180"/>
        <w:rPr/>
      </w:pPr>
      <w:r>
        <w:rPr>
          <w:rFonts w:eastAsia="Arial" w:cs="Arial" w:ascii="Arial" w:hAnsi="Arial"/>
          <w:b/>
          <w:bCs/>
          <w:color w:val="0000FF"/>
          <w:sz w:val="36"/>
          <w:szCs w:val="36"/>
        </w:rPr>
        <w:t>7. Account, Password, and Authentication Use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Detailed authentication requirements are in POL-002 Access Control Policy. Personnel must:</w:t>
      </w:r>
    </w:p>
    <w:p>
      <w:pPr>
        <w:pStyle w:val="ListParagraph"/>
        <w:numPr>
          <w:ilvl w:val="0"/>
          <w:numId w:val="1"/>
        </w:numPr>
        <w:spacing w:lineRule="exact" w:line="280" w:before="40" w:after="40"/>
        <w:rPr/>
      </w:pPr>
      <w:r>
        <w:rPr>
          <w:rFonts w:eastAsia="Arial" w:cs="Arial"/>
          <w:color w:val="1A1A1A"/>
          <w:sz w:val="22"/>
          <w:szCs w:val="22"/>
        </w:rPr>
        <w:t>Use their Cloudax-issued account for all work activity.</w:t>
      </w:r>
    </w:p>
    <w:p>
      <w:pPr>
        <w:pStyle w:val="ListParagraph"/>
        <w:numPr>
          <w:ilvl w:val="0"/>
          <w:numId w:val="1"/>
        </w:numPr>
        <w:spacing w:lineRule="exact" w:line="280" w:before="40" w:after="40"/>
        <w:rPr/>
      </w:pPr>
      <w:r>
        <w:rPr>
          <w:rFonts w:eastAsia="Arial" w:cs="Arial"/>
          <w:color w:val="1A1A1A"/>
          <w:sz w:val="22"/>
          <w:szCs w:val="22"/>
        </w:rPr>
        <w:t>Use a unique strong passphrase for every system, stored in the approved password manager.</w:t>
      </w:r>
    </w:p>
    <w:p>
      <w:pPr>
        <w:pStyle w:val="ListParagraph"/>
        <w:numPr>
          <w:ilvl w:val="0"/>
          <w:numId w:val="1"/>
        </w:numPr>
        <w:spacing w:lineRule="exact" w:line="280" w:before="40" w:after="40"/>
        <w:rPr/>
      </w:pPr>
      <w:r>
        <w:rPr>
          <w:rFonts w:eastAsia="Arial" w:cs="Arial"/>
          <w:color w:val="1A1A1A"/>
          <w:sz w:val="22"/>
          <w:szCs w:val="22"/>
        </w:rPr>
        <w:t>Enable MFA on every system that supports it.</w:t>
      </w:r>
    </w:p>
    <w:p>
      <w:pPr>
        <w:pStyle w:val="ListParagraph"/>
        <w:numPr>
          <w:ilvl w:val="0"/>
          <w:numId w:val="1"/>
        </w:numPr>
        <w:spacing w:lineRule="exact" w:line="280" w:before="40" w:after="40"/>
        <w:rPr/>
      </w:pPr>
      <w:r>
        <w:rPr>
          <w:rFonts w:eastAsia="Arial" w:cs="Arial"/>
          <w:color w:val="1A1A1A"/>
          <w:sz w:val="22"/>
          <w:szCs w:val="22"/>
        </w:rPr>
        <w:t>Never share credentials, MFA codes, or hardware tokens.</w:t>
      </w:r>
    </w:p>
    <w:p>
      <w:pPr>
        <w:pStyle w:val="ListParagraph"/>
        <w:numPr>
          <w:ilvl w:val="0"/>
          <w:numId w:val="1"/>
        </w:numPr>
        <w:spacing w:lineRule="exact" w:line="280" w:before="40" w:after="40"/>
        <w:rPr/>
      </w:pPr>
      <w:r>
        <w:rPr>
          <w:rFonts w:eastAsia="Arial" w:cs="Arial"/>
          <w:color w:val="1A1A1A"/>
          <w:sz w:val="22"/>
          <w:szCs w:val="22"/>
        </w:rPr>
        <w:t>Lock screens whenever leaving a device unattended.</w:t>
      </w:r>
    </w:p>
    <w:p>
      <w:pPr>
        <w:pStyle w:val="ListParagraph"/>
        <w:numPr>
          <w:ilvl w:val="0"/>
          <w:numId w:val="1"/>
        </w:numPr>
        <w:spacing w:lineRule="exact" w:line="280" w:before="40" w:after="40"/>
        <w:rPr/>
      </w:pPr>
      <w:r>
        <w:rPr>
          <w:rFonts w:eastAsia="Arial" w:cs="Arial"/>
          <w:color w:val="1A1A1A"/>
          <w:sz w:val="22"/>
          <w:szCs w:val="22"/>
        </w:rPr>
        <w:t>Report suspected account compromise immediately (see Section 14).</w:t>
      </w:r>
    </w:p>
    <w:p>
      <w:pPr>
        <w:pStyle w:val="Heading1"/>
        <w:spacing w:before="360" w:after="180"/>
        <w:rPr/>
      </w:pPr>
      <w:r>
        <w:rPr>
          <w:rFonts w:eastAsia="Arial" w:cs="Arial" w:ascii="Arial" w:hAnsi="Arial"/>
          <w:b/>
          <w:bCs/>
          <w:color w:val="0000FF"/>
          <w:sz w:val="36"/>
          <w:szCs w:val="36"/>
        </w:rPr>
        <w:t>8. Endpoint and Mobile Device Use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Detailed endpoint requirements are in POL-012 Remote Working Policy and POL-021 Software Installation Policy. Personnel must:</w:t>
      </w:r>
    </w:p>
    <w:p>
      <w:pPr>
        <w:pStyle w:val="ListParagraph"/>
        <w:numPr>
          <w:ilvl w:val="0"/>
          <w:numId w:val="1"/>
        </w:numPr>
        <w:spacing w:lineRule="exact" w:line="280" w:before="40" w:after="40"/>
        <w:rPr/>
      </w:pPr>
      <w:r>
        <w:rPr>
          <w:rFonts w:eastAsia="Arial" w:cs="Arial"/>
          <w:color w:val="1A1A1A"/>
          <w:sz w:val="22"/>
          <w:szCs w:val="22"/>
        </w:rPr>
        <w:t>Use Cloudax-issued laptops and mobile devices as primary work devices.</w:t>
      </w:r>
    </w:p>
    <w:p>
      <w:pPr>
        <w:pStyle w:val="ListParagraph"/>
        <w:numPr>
          <w:ilvl w:val="0"/>
          <w:numId w:val="1"/>
        </w:numPr>
        <w:spacing w:lineRule="exact" w:line="280" w:before="40" w:after="40"/>
        <w:rPr/>
      </w:pPr>
      <w:r>
        <w:rPr>
          <w:rFonts w:eastAsia="Arial" w:cs="Arial"/>
          <w:color w:val="1A1A1A"/>
          <w:sz w:val="22"/>
          <w:szCs w:val="22"/>
        </w:rPr>
        <w:t>Keep operating systems and applications up to date.</w:t>
      </w:r>
    </w:p>
    <w:p>
      <w:pPr>
        <w:pStyle w:val="ListParagraph"/>
        <w:numPr>
          <w:ilvl w:val="0"/>
          <w:numId w:val="1"/>
        </w:numPr>
        <w:spacing w:lineRule="exact" w:line="280" w:before="40" w:after="40"/>
        <w:rPr/>
      </w:pPr>
      <w:r>
        <w:rPr>
          <w:rFonts w:eastAsia="Arial" w:cs="Arial"/>
          <w:color w:val="1A1A1A"/>
          <w:sz w:val="22"/>
          <w:szCs w:val="22"/>
        </w:rPr>
        <w:t>Not disable endpoint protection, full-disk encryption, or MDM.</w:t>
      </w:r>
    </w:p>
    <w:p>
      <w:pPr>
        <w:pStyle w:val="ListParagraph"/>
        <w:numPr>
          <w:ilvl w:val="0"/>
          <w:numId w:val="1"/>
        </w:numPr>
        <w:spacing w:lineRule="exact" w:line="280" w:before="40" w:after="40"/>
        <w:rPr/>
      </w:pPr>
      <w:r>
        <w:rPr>
          <w:rFonts w:eastAsia="Arial" w:cs="Arial"/>
          <w:color w:val="1A1A1A"/>
          <w:sz w:val="22"/>
          <w:szCs w:val="22"/>
        </w:rPr>
        <w:t>Not install unapproved software.</w:t>
      </w:r>
    </w:p>
    <w:p>
      <w:pPr>
        <w:pStyle w:val="ListParagraph"/>
        <w:numPr>
          <w:ilvl w:val="0"/>
          <w:numId w:val="1"/>
        </w:numPr>
        <w:spacing w:lineRule="exact" w:line="280" w:before="40" w:after="40"/>
        <w:rPr/>
      </w:pPr>
      <w:r>
        <w:rPr>
          <w:rFonts w:eastAsia="Arial" w:cs="Arial"/>
          <w:color w:val="1A1A1A"/>
          <w:sz w:val="22"/>
          <w:szCs w:val="22"/>
        </w:rPr>
        <w:t>Avoid removable media; where unavoidable, use only encrypted approved media (see POL-013).</w:t>
      </w:r>
    </w:p>
    <w:p>
      <w:pPr>
        <w:pStyle w:val="Heading1"/>
        <w:spacing w:before="360" w:after="180"/>
        <w:rPr/>
      </w:pPr>
      <w:r>
        <w:rPr>
          <w:rFonts w:eastAsia="Arial" w:cs="Arial" w:ascii="Arial" w:hAnsi="Arial"/>
          <w:b/>
          <w:bCs/>
          <w:color w:val="0000FF"/>
          <w:sz w:val="36"/>
          <w:szCs w:val="36"/>
        </w:rPr>
        <w:t>9. Use of Cloudax Facilities and the Shared Manchester Workspace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from a shared workspace in central Manchester. The multi-tenant nature of this environment introduces specific physical and environmental risks.</w:t>
      </w:r>
    </w:p>
    <w:p>
      <w:pPr>
        <w:pStyle w:val="Heading2"/>
        <w:spacing w:before="280" w:after="140"/>
        <w:rPr/>
      </w:pPr>
      <w:r>
        <w:rPr>
          <w:rFonts w:eastAsia="Arial" w:cs="Arial" w:ascii="Arial" w:hAnsi="Arial"/>
          <w:b/>
          <w:bCs/>
          <w:color w:val="0000FF"/>
          <w:sz w:val="28"/>
          <w:szCs w:val="28"/>
        </w:rPr>
        <w:t>9.1 Screen and information visibility</w:t>
      </w:r>
    </w:p>
    <w:p>
      <w:pPr>
        <w:pStyle w:val="ListParagraph"/>
        <w:numPr>
          <w:ilvl w:val="0"/>
          <w:numId w:val="1"/>
        </w:numPr>
        <w:spacing w:lineRule="exact" w:line="280" w:before="40" w:after="40"/>
        <w:rPr/>
      </w:pPr>
      <w:r>
        <w:rPr>
          <w:rFonts w:eastAsia="Arial" w:cs="Arial"/>
          <w:color w:val="1A1A1A"/>
          <w:sz w:val="22"/>
          <w:szCs w:val="22"/>
        </w:rPr>
        <w:t>Position screens so information cannot be observed by unauthorised persons.</w:t>
      </w:r>
    </w:p>
    <w:p>
      <w:pPr>
        <w:pStyle w:val="ListParagraph"/>
        <w:numPr>
          <w:ilvl w:val="0"/>
          <w:numId w:val="1"/>
        </w:numPr>
        <w:spacing w:lineRule="exact" w:line="280" w:before="40" w:after="40"/>
        <w:rPr/>
      </w:pPr>
      <w:r>
        <w:rPr>
          <w:rFonts w:eastAsia="Arial" w:cs="Arial"/>
          <w:color w:val="1A1A1A"/>
          <w:sz w:val="22"/>
          <w:szCs w:val="22"/>
        </w:rPr>
        <w:t>Use privacy filters on devices regularly used in shared areas.</w:t>
      </w:r>
    </w:p>
    <w:p>
      <w:pPr>
        <w:pStyle w:val="ListParagraph"/>
        <w:numPr>
          <w:ilvl w:val="0"/>
          <w:numId w:val="1"/>
        </w:numPr>
        <w:spacing w:lineRule="exact" w:line="280" w:before="40" w:after="40"/>
        <w:rPr/>
      </w:pPr>
      <w:r>
        <w:rPr>
          <w:rFonts w:eastAsia="Arial" w:cs="Arial"/>
          <w:color w:val="1A1A1A"/>
          <w:sz w:val="22"/>
          <w:szCs w:val="22"/>
        </w:rPr>
        <w:t>Lock screens whenever leaving a desk.</w:t>
      </w:r>
    </w:p>
    <w:p>
      <w:pPr>
        <w:pStyle w:val="Heading2"/>
        <w:spacing w:before="280" w:after="140"/>
        <w:rPr/>
      </w:pPr>
      <w:r>
        <w:rPr>
          <w:rFonts w:eastAsia="Arial" w:cs="Arial" w:ascii="Arial" w:hAnsi="Arial"/>
          <w:b/>
          <w:bCs/>
          <w:color w:val="0000FF"/>
          <w:sz w:val="28"/>
          <w:szCs w:val="28"/>
        </w:rPr>
        <w:t>9.2 Voice, video, and calls</w:t>
      </w:r>
    </w:p>
    <w:p>
      <w:pPr>
        <w:pStyle w:val="ListParagraph"/>
        <w:numPr>
          <w:ilvl w:val="0"/>
          <w:numId w:val="1"/>
        </w:numPr>
        <w:spacing w:lineRule="exact" w:line="280" w:before="40" w:after="40"/>
        <w:rPr/>
      </w:pPr>
      <w:r>
        <w:rPr>
          <w:rFonts w:eastAsia="Arial" w:cs="Arial"/>
          <w:color w:val="1A1A1A"/>
          <w:sz w:val="22"/>
          <w:szCs w:val="22"/>
        </w:rPr>
        <w:t>Take calls involving Confidential or Restricted information, personal data, or commercial matters in private booths or meeting rooms.</w:t>
      </w:r>
    </w:p>
    <w:p>
      <w:pPr>
        <w:pStyle w:val="ListParagraph"/>
        <w:numPr>
          <w:ilvl w:val="0"/>
          <w:numId w:val="1"/>
        </w:numPr>
        <w:spacing w:lineRule="exact" w:line="280" w:before="40" w:after="40"/>
        <w:rPr/>
      </w:pPr>
      <w:r>
        <w:rPr>
          <w:rFonts w:eastAsia="Arial" w:cs="Arial"/>
          <w:color w:val="1A1A1A"/>
          <w:sz w:val="22"/>
          <w:szCs w:val="22"/>
        </w:rPr>
        <w:t>Use headphones for calls involving confidential matters.</w:t>
      </w:r>
    </w:p>
    <w:p>
      <w:pPr>
        <w:pStyle w:val="ListParagraph"/>
        <w:numPr>
          <w:ilvl w:val="0"/>
          <w:numId w:val="1"/>
        </w:numPr>
        <w:spacing w:lineRule="exact" w:line="280" w:before="40" w:after="40"/>
        <w:rPr/>
      </w:pPr>
      <w:r>
        <w:rPr>
          <w:rFonts w:eastAsia="Arial" w:cs="Arial"/>
          <w:color w:val="1A1A1A"/>
          <w:sz w:val="22"/>
          <w:szCs w:val="22"/>
        </w:rPr>
        <w:t>Do not expose customer voices, transcripts, or conversational AI interactions in shared areas.</w:t>
      </w:r>
    </w:p>
    <w:p>
      <w:pPr>
        <w:pStyle w:val="Heading2"/>
        <w:spacing w:before="280" w:after="140"/>
        <w:rPr/>
      </w:pPr>
      <w:r>
        <w:rPr>
          <w:rFonts w:eastAsia="Arial" w:cs="Arial" w:ascii="Arial" w:hAnsi="Arial"/>
          <w:b/>
          <w:bCs/>
          <w:color w:val="0000FF"/>
          <w:sz w:val="28"/>
          <w:szCs w:val="28"/>
        </w:rPr>
        <w:t>9.3 Clean desk and clear screen</w:t>
      </w:r>
    </w:p>
    <w:p>
      <w:pPr>
        <w:pStyle w:val="ListParagraph"/>
        <w:numPr>
          <w:ilvl w:val="0"/>
          <w:numId w:val="1"/>
        </w:numPr>
        <w:spacing w:lineRule="exact" w:line="280" w:before="40" w:after="40"/>
        <w:rPr/>
      </w:pPr>
      <w:r>
        <w:rPr>
          <w:rFonts w:eastAsia="Arial" w:cs="Arial"/>
          <w:color w:val="1A1A1A"/>
          <w:sz w:val="22"/>
          <w:szCs w:val="22"/>
        </w:rPr>
        <w:t>Clear desks of papers, notebooks, and removable media at end of day or extended absence.</w:t>
      </w:r>
    </w:p>
    <w:p>
      <w:pPr>
        <w:pStyle w:val="ListParagraph"/>
        <w:numPr>
          <w:ilvl w:val="0"/>
          <w:numId w:val="1"/>
        </w:numPr>
        <w:spacing w:lineRule="exact" w:line="280" w:before="40" w:after="40"/>
        <w:rPr/>
      </w:pPr>
      <w:r>
        <w:rPr>
          <w:rFonts w:eastAsia="Arial" w:cs="Arial"/>
          <w:color w:val="1A1A1A"/>
          <w:sz w:val="22"/>
          <w:szCs w:val="22"/>
        </w:rPr>
        <w:t>Dispose of confidential paper using the designated secure shredding facility.</w:t>
      </w:r>
    </w:p>
    <w:p>
      <w:pPr>
        <w:pStyle w:val="ListParagraph"/>
        <w:numPr>
          <w:ilvl w:val="0"/>
          <w:numId w:val="1"/>
        </w:numPr>
        <w:spacing w:lineRule="exact" w:line="280" w:before="40" w:after="40"/>
        <w:rPr/>
      </w:pPr>
      <w:r>
        <w:rPr>
          <w:rFonts w:eastAsia="Arial" w:cs="Arial"/>
          <w:color w:val="1A1A1A"/>
          <w:sz w:val="22"/>
          <w:szCs w:val="22"/>
        </w:rPr>
        <w:t>Wipe whiteboards after meetings.</w:t>
      </w:r>
    </w:p>
    <w:p>
      <w:pPr>
        <w:pStyle w:val="Heading2"/>
        <w:spacing w:before="280" w:after="140"/>
        <w:rPr/>
      </w:pPr>
      <w:r>
        <w:rPr>
          <w:rFonts w:eastAsia="Arial" w:cs="Arial" w:ascii="Arial" w:hAnsi="Arial"/>
          <w:b/>
          <w:bCs/>
          <w:color w:val="0000FF"/>
          <w:sz w:val="28"/>
          <w:szCs w:val="28"/>
        </w:rPr>
        <w:t>9.4 Visitors and tailgating</w:t>
      </w:r>
    </w:p>
    <w:p>
      <w:pPr>
        <w:pStyle w:val="ListParagraph"/>
        <w:numPr>
          <w:ilvl w:val="0"/>
          <w:numId w:val="1"/>
        </w:numPr>
        <w:spacing w:lineRule="exact" w:line="280" w:before="40" w:after="40"/>
        <w:rPr/>
      </w:pPr>
      <w:r>
        <w:rPr>
          <w:rFonts w:eastAsia="Arial" w:cs="Arial"/>
          <w:color w:val="1A1A1A"/>
          <w:sz w:val="22"/>
          <w:szCs w:val="22"/>
        </w:rPr>
        <w:t>Do not permit tailgating into secured areas.</w:t>
      </w:r>
    </w:p>
    <w:p>
      <w:pPr>
        <w:pStyle w:val="ListParagraph"/>
        <w:numPr>
          <w:ilvl w:val="0"/>
          <w:numId w:val="1"/>
        </w:numPr>
        <w:spacing w:lineRule="exact" w:line="280" w:before="40" w:after="40"/>
        <w:rPr/>
      </w:pPr>
      <w:r>
        <w:rPr>
          <w:rFonts w:eastAsia="Arial" w:cs="Arial"/>
          <w:color w:val="1A1A1A"/>
          <w:sz w:val="22"/>
          <w:szCs w:val="22"/>
        </w:rPr>
        <w:t>Visitors must be signed in, escorted, and not left unattended with Cloudax assets.</w:t>
      </w:r>
    </w:p>
    <w:p>
      <w:pPr>
        <w:pStyle w:val="Heading1"/>
        <w:spacing w:before="360" w:after="180"/>
        <w:rPr/>
      </w:pPr>
      <w:r>
        <w:rPr>
          <w:rFonts w:eastAsia="Arial" w:cs="Arial" w:ascii="Arial" w:hAnsi="Arial"/>
          <w:b/>
          <w:bCs/>
          <w:color w:val="0000FF"/>
          <w:sz w:val="36"/>
          <w:szCs w:val="36"/>
        </w:rPr>
        <w:t>10. Remote, Hybrid, and Travel Working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Remote, hybrid, and travel working is governed by POL-012 Remote Working Policy. Key requirements include:</w:t>
      </w:r>
    </w:p>
    <w:p>
      <w:pPr>
        <w:pStyle w:val="ListParagraph"/>
        <w:numPr>
          <w:ilvl w:val="0"/>
          <w:numId w:val="1"/>
        </w:numPr>
        <w:spacing w:lineRule="exact" w:line="280" w:before="40" w:after="40"/>
        <w:rPr/>
      </w:pPr>
      <w:r>
        <w:rPr>
          <w:rFonts w:eastAsia="Arial" w:cs="Arial"/>
          <w:color w:val="1A1A1A"/>
          <w:sz w:val="22"/>
          <w:szCs w:val="22"/>
        </w:rPr>
        <w:t>Work in a location where screens cannot be observed and calls cannot be overheard.</w:t>
      </w:r>
    </w:p>
    <w:p>
      <w:pPr>
        <w:pStyle w:val="ListParagraph"/>
        <w:numPr>
          <w:ilvl w:val="0"/>
          <w:numId w:val="1"/>
        </w:numPr>
        <w:spacing w:lineRule="exact" w:line="280" w:before="40" w:after="40"/>
        <w:rPr/>
      </w:pPr>
      <w:r>
        <w:rPr>
          <w:rFonts w:eastAsia="Arial" w:cs="Arial"/>
          <w:color w:val="1A1A1A"/>
          <w:sz w:val="22"/>
          <w:szCs w:val="22"/>
        </w:rPr>
        <w:t>Keep Cloudax devices and credentials out of reach of household members and visitors.</w:t>
      </w:r>
    </w:p>
    <w:p>
      <w:pPr>
        <w:pStyle w:val="ListParagraph"/>
        <w:numPr>
          <w:ilvl w:val="0"/>
          <w:numId w:val="1"/>
        </w:numPr>
        <w:spacing w:lineRule="exact" w:line="280" w:before="40" w:after="40"/>
        <w:rPr/>
      </w:pPr>
      <w:r>
        <w:rPr>
          <w:rFonts w:eastAsia="Arial" w:cs="Arial"/>
          <w:color w:val="1A1A1A"/>
          <w:sz w:val="22"/>
          <w:szCs w:val="22"/>
        </w:rPr>
        <w:t>Use the approved corporate VPN on untrusted networks; mobile hotspots are preferred over public Wi-Fi.</w:t>
      </w:r>
    </w:p>
    <w:p>
      <w:pPr>
        <w:pStyle w:val="ListParagraph"/>
        <w:numPr>
          <w:ilvl w:val="0"/>
          <w:numId w:val="1"/>
        </w:numPr>
        <w:spacing w:lineRule="exact" w:line="280" w:before="40" w:after="40"/>
        <w:rPr/>
      </w:pPr>
      <w:r>
        <w:rPr>
          <w:rFonts w:eastAsia="Arial" w:cs="Arial"/>
          <w:color w:val="1A1A1A"/>
          <w:sz w:val="22"/>
          <w:szCs w:val="22"/>
        </w:rPr>
        <w:t>Never leave devices unattended in public places, vehicles, or hotel rooms.</w:t>
      </w:r>
    </w:p>
    <w:p>
      <w:pPr>
        <w:pStyle w:val="Heading1"/>
        <w:spacing w:before="360" w:after="180"/>
        <w:rPr/>
      </w:pPr>
      <w:r>
        <w:rPr>
          <w:rFonts w:eastAsia="Arial" w:cs="Arial" w:ascii="Arial" w:hAnsi="Arial"/>
          <w:b/>
          <w:bCs/>
          <w:color w:val="0000FF"/>
          <w:sz w:val="36"/>
          <w:szCs w:val="36"/>
        </w:rPr>
        <w:t>11. Communications, Email, and Messaging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Use Cloudax email and approved messaging platforms for work communications.</w:t>
      </w:r>
    </w:p>
    <w:p>
      <w:pPr>
        <w:pStyle w:val="ListParagraph"/>
        <w:numPr>
          <w:ilvl w:val="0"/>
          <w:numId w:val="1"/>
        </w:numPr>
        <w:spacing w:lineRule="exact" w:line="280" w:before="40" w:after="40"/>
        <w:rPr/>
      </w:pPr>
      <w:r>
        <w:rPr>
          <w:rFonts w:eastAsia="Arial" w:cs="Arial"/>
          <w:color w:val="1A1A1A"/>
          <w:sz w:val="22"/>
          <w:szCs w:val="22"/>
        </w:rPr>
        <w:t>Be alert to phishing, smishing, vishing, and business email compromise. Use the “Report Phishing” function.</w:t>
      </w:r>
    </w:p>
    <w:p>
      <w:pPr>
        <w:pStyle w:val="ListParagraph"/>
        <w:numPr>
          <w:ilvl w:val="0"/>
          <w:numId w:val="1"/>
        </w:numPr>
        <w:spacing w:lineRule="exact" w:line="280" w:before="40" w:after="40"/>
        <w:rPr/>
      </w:pPr>
      <w:r>
        <w:rPr>
          <w:rFonts w:eastAsia="Arial" w:cs="Arial"/>
          <w:color w:val="1A1A1A"/>
          <w:sz w:val="22"/>
          <w:szCs w:val="22"/>
        </w:rPr>
        <w:t>Never share credentials, MFA codes, or payment details in response to unsolicited messages.</w:t>
      </w:r>
    </w:p>
    <w:p>
      <w:pPr>
        <w:pStyle w:val="ListParagraph"/>
        <w:numPr>
          <w:ilvl w:val="0"/>
          <w:numId w:val="1"/>
        </w:numPr>
        <w:spacing w:lineRule="exact" w:line="280" w:before="40" w:after="40"/>
        <w:rPr/>
      </w:pPr>
      <w:r>
        <w:rPr>
          <w:rFonts w:eastAsia="Arial" w:cs="Arial"/>
          <w:color w:val="1A1A1A"/>
          <w:sz w:val="22"/>
          <w:szCs w:val="22"/>
        </w:rPr>
        <w:t>Use out-of-band verification for unusual or urgent requests relating to payments or supplier changes.</w:t>
      </w:r>
    </w:p>
    <w:p>
      <w:pPr>
        <w:pStyle w:val="ListParagraph"/>
        <w:numPr>
          <w:ilvl w:val="0"/>
          <w:numId w:val="1"/>
        </w:numPr>
        <w:spacing w:lineRule="exact" w:line="280" w:before="40" w:after="40"/>
        <w:rPr/>
      </w:pPr>
      <w:r>
        <w:rPr>
          <w:rFonts w:eastAsia="Arial" w:cs="Arial"/>
          <w:color w:val="1A1A1A"/>
          <w:sz w:val="22"/>
          <w:szCs w:val="22"/>
        </w:rPr>
        <w:t>Verify recipients before sending. Do not transmit Confidential or Restricted information through unapproved channels (see POL-005 Information Transfer Policy).</w:t>
      </w:r>
    </w:p>
    <w:p>
      <w:pPr>
        <w:pStyle w:val="Heading1"/>
        <w:spacing w:before="360" w:after="180"/>
        <w:rPr/>
      </w:pPr>
      <w:r>
        <w:rPr>
          <w:rFonts w:eastAsia="Arial" w:cs="Arial" w:ascii="Arial" w:hAnsi="Arial"/>
          <w:b/>
          <w:bCs/>
          <w:color w:val="0000FF"/>
          <w:sz w:val="36"/>
          <w:szCs w:val="36"/>
        </w:rPr>
        <w:t>12. Use of AI Services and Generative AI Tools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is a developer of conversational AI technology. The following requirements apply to use of AI tools by personnel:</w:t>
      </w:r>
    </w:p>
    <w:p>
      <w:pPr>
        <w:pStyle w:val="ListParagraph"/>
        <w:numPr>
          <w:ilvl w:val="0"/>
          <w:numId w:val="1"/>
        </w:numPr>
        <w:spacing w:lineRule="exact" w:line="280" w:before="40" w:after="40"/>
        <w:rPr/>
      </w:pPr>
      <w:r>
        <w:rPr>
          <w:rFonts w:eastAsia="Arial" w:cs="Arial"/>
          <w:color w:val="1A1A1A"/>
          <w:sz w:val="22"/>
          <w:szCs w:val="22"/>
        </w:rPr>
        <w:t>Only AI tools approved for business use may be used. The list of approved tools is maintained by the Information Security Manager.</w:t>
      </w:r>
    </w:p>
    <w:p>
      <w:pPr>
        <w:pStyle w:val="ListParagraph"/>
        <w:numPr>
          <w:ilvl w:val="0"/>
          <w:numId w:val="1"/>
        </w:numPr>
        <w:spacing w:lineRule="exact" w:line="280" w:before="40" w:after="40"/>
        <w:rPr/>
      </w:pPr>
      <w:r>
        <w:rPr>
          <w:rFonts w:eastAsia="Arial" w:cs="Arial"/>
          <w:color w:val="1A1A1A"/>
          <w:sz w:val="22"/>
          <w:szCs w:val="22"/>
        </w:rPr>
        <w:t>Customer personal data, call transcripts, recordings, source code, credentials, and Confidential or Restricted information must not be entered into public AI services unless an approved data processing agreement is in place and the configuration has been verified.</w:t>
      </w:r>
    </w:p>
    <w:p>
      <w:pPr>
        <w:pStyle w:val="ListParagraph"/>
        <w:numPr>
          <w:ilvl w:val="0"/>
          <w:numId w:val="1"/>
        </w:numPr>
        <w:spacing w:lineRule="exact" w:line="280" w:before="40" w:after="40"/>
        <w:rPr/>
      </w:pPr>
      <w:r>
        <w:rPr>
          <w:rFonts w:eastAsia="Arial" w:cs="Arial"/>
          <w:color w:val="1A1A1A"/>
          <w:sz w:val="22"/>
          <w:szCs w:val="22"/>
        </w:rPr>
        <w:t>Assume information entered into public AI services may be retained and used for training unless explicitly prevented.</w:t>
      </w:r>
    </w:p>
    <w:p>
      <w:pPr>
        <w:pStyle w:val="ListParagraph"/>
        <w:numPr>
          <w:ilvl w:val="0"/>
          <w:numId w:val="1"/>
        </w:numPr>
        <w:spacing w:lineRule="exact" w:line="280" w:before="40" w:after="40"/>
        <w:rPr/>
      </w:pPr>
      <w:r>
        <w:rPr>
          <w:rFonts w:eastAsia="Arial" w:cs="Arial"/>
          <w:color w:val="1A1A1A"/>
          <w:sz w:val="22"/>
          <w:szCs w:val="22"/>
        </w:rPr>
        <w:t>Personnel remain accountable for AI-generated output. Verify before publishing or using in decision-making.</w:t>
      </w:r>
    </w:p>
    <w:p>
      <w:pPr>
        <w:pStyle w:val="ListParagraph"/>
        <w:numPr>
          <w:ilvl w:val="0"/>
          <w:numId w:val="1"/>
        </w:numPr>
        <w:spacing w:lineRule="exact" w:line="280" w:before="40" w:after="40"/>
        <w:rPr/>
      </w:pPr>
      <w:r>
        <w:rPr>
          <w:rFonts w:eastAsia="Arial" w:cs="Arial"/>
          <w:color w:val="1A1A1A"/>
          <w:sz w:val="22"/>
          <w:szCs w:val="22"/>
        </w:rPr>
        <w:t>Disclose use of AI-generated content where accuracy or attribution matters.</w:t>
      </w:r>
    </w:p>
    <w:p>
      <w:pPr>
        <w:pStyle w:val="Heading1"/>
        <w:spacing w:before="360" w:after="180"/>
        <w:rPr/>
      </w:pPr>
      <w:r>
        <w:rPr>
          <w:rFonts w:eastAsia="Arial" w:cs="Arial" w:ascii="Arial" w:hAnsi="Arial"/>
          <w:b/>
          <w:bCs/>
          <w:color w:val="0000FF"/>
          <w:sz w:val="36"/>
          <w:szCs w:val="36"/>
        </w:rPr>
        <w:t>13. Social Media and External Representation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Only authorised individuals may post from official Cloudax social channels.</w:t>
      </w:r>
    </w:p>
    <w:p>
      <w:pPr>
        <w:pStyle w:val="ListParagraph"/>
        <w:numPr>
          <w:ilvl w:val="0"/>
          <w:numId w:val="1"/>
        </w:numPr>
        <w:spacing w:lineRule="exact" w:line="280" w:before="40" w:after="40"/>
        <w:rPr/>
      </w:pPr>
      <w:r>
        <w:rPr>
          <w:rFonts w:eastAsia="Arial" w:cs="Arial"/>
          <w:color w:val="1A1A1A"/>
          <w:sz w:val="22"/>
          <w:szCs w:val="22"/>
        </w:rPr>
        <w:t>When posting personally about Cloudax, make clear views are your own.</w:t>
      </w:r>
    </w:p>
    <w:p>
      <w:pPr>
        <w:pStyle w:val="ListParagraph"/>
        <w:numPr>
          <w:ilvl w:val="0"/>
          <w:numId w:val="1"/>
        </w:numPr>
        <w:spacing w:lineRule="exact" w:line="280" w:before="40" w:after="40"/>
        <w:rPr/>
      </w:pPr>
      <w:r>
        <w:rPr>
          <w:rFonts w:eastAsia="Arial" w:cs="Arial"/>
          <w:color w:val="1A1A1A"/>
          <w:sz w:val="22"/>
          <w:szCs w:val="22"/>
        </w:rPr>
        <w:t>Do not disclose Confidential or Restricted information.</w:t>
      </w:r>
    </w:p>
    <w:p>
      <w:pPr>
        <w:pStyle w:val="ListParagraph"/>
        <w:numPr>
          <w:ilvl w:val="0"/>
          <w:numId w:val="1"/>
        </w:numPr>
        <w:spacing w:lineRule="exact" w:line="280" w:before="40" w:after="40"/>
        <w:rPr/>
      </w:pPr>
      <w:r>
        <w:rPr>
          <w:rFonts w:eastAsia="Arial" w:cs="Arial"/>
          <w:color w:val="1A1A1A"/>
          <w:sz w:val="22"/>
          <w:szCs w:val="22"/>
        </w:rPr>
        <w:t>Follow Cloudax brand guidelines when using Cloudax logos, colours, or messaging.</w:t>
      </w:r>
    </w:p>
    <w:p>
      <w:pPr>
        <w:pStyle w:val="Heading1"/>
        <w:spacing w:before="360" w:after="180"/>
        <w:rPr/>
      </w:pPr>
      <w:r>
        <w:rPr>
          <w:rFonts w:eastAsia="Arial" w:cs="Arial" w:ascii="Arial" w:hAnsi="Arial"/>
          <w:b/>
          <w:bCs/>
          <w:color w:val="0000FF"/>
          <w:sz w:val="36"/>
          <w:szCs w:val="36"/>
        </w:rPr>
        <w:t>14. Reporting Information Security Events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Information security events, weaknesses, and incidents are reported in accordance with PRO-027 Event Reporting Procedure and PLAN-IRP-001 Incident Response Plan.</w:t>
      </w:r>
    </w:p>
    <w:p>
      <w:pPr>
        <w:pStyle w:val="Normal"/>
        <w:spacing w:lineRule="exact" w:line="300" w:before="80" w:after="120"/>
        <w:rPr/>
      </w:pPr>
      <w:r>
        <w:rPr>
          <w:rFonts w:eastAsia="Arial" w:cs="Arial"/>
          <w:color w:val="1A1A1A"/>
          <w:sz w:val="22"/>
          <w:szCs w:val="22"/>
        </w:rPr>
        <w:t>Personnel must report immediately if they:</w:t>
      </w:r>
    </w:p>
    <w:p>
      <w:pPr>
        <w:pStyle w:val="ListParagraph"/>
        <w:numPr>
          <w:ilvl w:val="0"/>
          <w:numId w:val="1"/>
        </w:numPr>
        <w:spacing w:lineRule="exact" w:line="280" w:before="40" w:after="40"/>
        <w:rPr/>
      </w:pPr>
      <w:r>
        <w:rPr>
          <w:rFonts w:eastAsia="Arial" w:cs="Arial"/>
          <w:color w:val="1A1A1A"/>
          <w:sz w:val="22"/>
          <w:szCs w:val="22"/>
        </w:rPr>
        <w:t>Lose a device, access credential, or paper record.</w:t>
      </w:r>
    </w:p>
    <w:p>
      <w:pPr>
        <w:pStyle w:val="ListParagraph"/>
        <w:numPr>
          <w:ilvl w:val="0"/>
          <w:numId w:val="1"/>
        </w:numPr>
        <w:spacing w:lineRule="exact" w:line="280" w:before="40" w:after="40"/>
        <w:rPr/>
      </w:pPr>
      <w:r>
        <w:rPr>
          <w:rFonts w:eastAsia="Arial" w:cs="Arial"/>
          <w:color w:val="1A1A1A"/>
          <w:sz w:val="22"/>
          <w:szCs w:val="22"/>
        </w:rPr>
        <w:t>Click a suspicious link or enter credentials into a suspicious site.</w:t>
      </w:r>
    </w:p>
    <w:p>
      <w:pPr>
        <w:pStyle w:val="ListParagraph"/>
        <w:numPr>
          <w:ilvl w:val="0"/>
          <w:numId w:val="1"/>
        </w:numPr>
        <w:spacing w:lineRule="exact" w:line="280" w:before="40" w:after="40"/>
        <w:rPr/>
      </w:pPr>
      <w:r>
        <w:rPr>
          <w:rFonts w:eastAsia="Arial" w:cs="Arial"/>
          <w:color w:val="1A1A1A"/>
          <w:sz w:val="22"/>
          <w:szCs w:val="22"/>
        </w:rPr>
        <w:t>Approve an MFA prompt they did not initiate.</w:t>
      </w:r>
    </w:p>
    <w:p>
      <w:pPr>
        <w:pStyle w:val="ListParagraph"/>
        <w:numPr>
          <w:ilvl w:val="0"/>
          <w:numId w:val="1"/>
        </w:numPr>
        <w:spacing w:lineRule="exact" w:line="280" w:before="40" w:after="40"/>
        <w:rPr/>
      </w:pPr>
      <w:r>
        <w:rPr>
          <w:rFonts w:eastAsia="Arial" w:cs="Arial"/>
          <w:color w:val="1A1A1A"/>
          <w:sz w:val="22"/>
          <w:szCs w:val="22"/>
        </w:rPr>
        <w:t>Send information to the wrong recipient or receive misdirected information.</w:t>
      </w:r>
    </w:p>
    <w:p>
      <w:pPr>
        <w:pStyle w:val="ListParagraph"/>
        <w:numPr>
          <w:ilvl w:val="0"/>
          <w:numId w:val="1"/>
        </w:numPr>
        <w:spacing w:lineRule="exact" w:line="280" w:before="40" w:after="40"/>
        <w:rPr/>
      </w:pPr>
      <w:r>
        <w:rPr>
          <w:rFonts w:eastAsia="Arial" w:cs="Arial"/>
          <w:color w:val="1A1A1A"/>
          <w:sz w:val="22"/>
          <w:szCs w:val="22"/>
        </w:rPr>
        <w:t>Suspect account compromise, malware, or data breach.</w:t>
      </w:r>
    </w:p>
    <w:p>
      <w:pPr>
        <w:pStyle w:val="ListParagraph"/>
        <w:numPr>
          <w:ilvl w:val="0"/>
          <w:numId w:val="1"/>
        </w:numPr>
        <w:spacing w:lineRule="exact" w:line="280" w:before="40" w:after="40"/>
        <w:rPr/>
      </w:pPr>
      <w:r>
        <w:rPr>
          <w:rFonts w:eastAsia="Arial" w:cs="Arial"/>
          <w:color w:val="1A1A1A"/>
          <w:sz w:val="22"/>
          <w:szCs w:val="22"/>
        </w:rPr>
        <w:t>Identify a weakness in a Cloudax system or process.</w:t>
      </w:r>
    </w:p>
    <w:p>
      <w:pPr>
        <w:pStyle w:val="Heading1"/>
        <w:spacing w:before="360" w:after="180"/>
        <w:rPr/>
      </w:pPr>
      <w:r>
        <w:rPr>
          <w:rFonts w:eastAsia="Arial" w:cs="Arial" w:ascii="Arial" w:hAnsi="Arial"/>
          <w:b/>
          <w:bCs/>
          <w:color w:val="0000FF"/>
          <w:sz w:val="36"/>
          <w:szCs w:val="36"/>
        </w:rPr>
        <w:t>15. Monitoring and Privacy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monitors and logs activity on its systems and networks (see POL-019 and POL-020) to protect information, meet legal and contractual obligations, and operate the ISMS. Personnel should have no expectation of absolute privacy when using Cloudax assets, including for permitted personal use.</w:t>
      </w:r>
    </w:p>
    <w:p>
      <w:pPr>
        <w:pStyle w:val="Heading1"/>
        <w:spacing w:before="360" w:after="180"/>
        <w:rPr/>
      </w:pPr>
      <w:r>
        <w:rPr>
          <w:rFonts w:eastAsia="Arial" w:cs="Arial" w:ascii="Arial" w:hAnsi="Arial"/>
          <w:b/>
          <w:bCs/>
          <w:color w:val="0000FF"/>
          <w:sz w:val="36"/>
          <w:szCs w:val="36"/>
        </w:rPr>
        <w:t>16. Policy Breaches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Breaches are managed in accordance with POL-011 Disciplinary Policy.</w:t>
      </w:r>
    </w:p>
    <w:p>
      <w:pPr>
        <w:pStyle w:val="Heading1"/>
        <w:spacing w:before="360" w:after="180"/>
        <w:rPr/>
      </w:pPr>
      <w:r>
        <w:rPr>
          <w:rFonts w:eastAsia="Arial" w:cs="Arial" w:ascii="Arial" w:hAnsi="Arial"/>
          <w:b/>
          <w:bCs/>
          <w:color w:val="0000FF"/>
          <w:sz w:val="36"/>
          <w:szCs w:val="36"/>
        </w:rPr>
        <w:t>17.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w:t>
      </w:r>
    </w:p>
    <w:p>
      <w:pPr>
        <w:pStyle w:val="Heading1"/>
        <w:spacing w:before="360" w:after="180"/>
        <w:rPr/>
      </w:pPr>
      <w:r>
        <w:rPr>
          <w:rFonts w:eastAsia="Arial" w:cs="Arial" w:ascii="Arial" w:hAnsi="Arial"/>
          <w:b/>
          <w:bCs/>
          <w:color w:val="0000FF"/>
          <w:sz w:val="36"/>
          <w:szCs w:val="36"/>
        </w:rPr>
        <w:t>18.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gives effect to the following ISO/IEC 27001:2022 Annex A controls, as recorded in the Cloudax Statement of Applicability (ISMS-SOA-001 v4.0). The authoritative list of applicable controls and their justification for applicability is the SoA itself.</w:t>
      </w:r>
    </w:p>
    <w:tbl>
      <w:tblPr>
        <w:tblW w:w="9026" w:type="dxa"/>
        <w:jc w:val="start"/>
        <w:tblInd w:w="0" w:type="dxa"/>
        <w:tblLayout w:type="fixed"/>
        <w:tblCellMar>
          <w:top w:w="100" w:type="dxa"/>
          <w:start w:w="160" w:type="dxa"/>
          <w:bottom w:w="100" w:type="dxa"/>
          <w:end w:w="16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A.5.10</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Acceptable use of information and other associated assets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 Document numbering aligned to ISMS-MAP-001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POL-003 Acceptable Use Policy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POL-003 Acceptable Use Policy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2026-04-16T14:21:31Z</dcterms:created>
  <dc:creator>David Stokes</dc:creator>
  <dc:description/>
  <dc:language>en-US</dc:language>
  <cp:lastModifiedBy>David Stokes</cp:lastModifiedBy>
  <dcterms:modified xsi:type="dcterms:W3CDTF">2026-04-16T16:50:31Z</dcterms:modified>
  <cp:revision>1</cp:revision>
  <dc:subject/>
  <dc:title>Cloudax Acceptable Use Policy</dc:title>
</cp:coreProperties>
</file>

<file path=docProps/custom.xml><?xml version="1.0" encoding="utf-8"?>
<Properties xmlns="http://schemas.openxmlformats.org/officeDocument/2006/custom-properties" xmlns:vt="http://schemas.openxmlformats.org/officeDocument/2006/docPropsVTypes"/>
</file>